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6C" w:rsidRPr="00112E18" w:rsidRDefault="001E706C" w:rsidP="008A0763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017E6E" w:rsidRPr="00112E18" w:rsidRDefault="00994BD9" w:rsidP="00994BD9">
      <w:pPr>
        <w:tabs>
          <w:tab w:val="left" w:pos="5576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12E18">
        <w:rPr>
          <w:rFonts w:asciiTheme="majorBidi" w:hAnsiTheme="majorBidi" w:cstheme="majorBidi"/>
          <w:sz w:val="28"/>
          <w:szCs w:val="28"/>
        </w:rPr>
        <w:tab/>
      </w:r>
    </w:p>
    <w:p w:rsidR="00D912BF" w:rsidRPr="00112E18" w:rsidRDefault="00D912BF" w:rsidP="008A0763">
      <w:pPr>
        <w:bidi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304858" w:rsidRDefault="00304858" w:rsidP="00DF4456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r w:rsidRPr="00112E18">
        <w:rPr>
          <w:rFonts w:asciiTheme="majorBidi" w:hAnsiTheme="majorBidi" w:cstheme="majorBidi"/>
          <w:b/>
          <w:bCs/>
          <w:sz w:val="28"/>
          <w:szCs w:val="28"/>
        </w:rPr>
        <w:t>Failure by Insured to Implement Measure</w:t>
      </w:r>
      <w:r w:rsidR="00AB7776"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112E18">
        <w:rPr>
          <w:rFonts w:asciiTheme="majorBidi" w:hAnsiTheme="majorBidi" w:cstheme="majorBidi"/>
          <w:b/>
          <w:bCs/>
          <w:sz w:val="28"/>
          <w:szCs w:val="28"/>
        </w:rPr>
        <w:t xml:space="preserve"> for Mitigation of Risk</w:t>
      </w:r>
      <w:r w:rsidR="00D8374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54035">
        <w:rPr>
          <w:rFonts w:asciiTheme="majorBidi" w:hAnsiTheme="majorBidi" w:cstheme="majorBidi"/>
          <w:b/>
          <w:bCs/>
          <w:sz w:val="28"/>
          <w:szCs w:val="28"/>
        </w:rPr>
        <w:t>-</w:t>
      </w:r>
    </w:p>
    <w:p w:rsidR="00D54035" w:rsidRPr="00112E18" w:rsidRDefault="00D54035" w:rsidP="002412AD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Dismissal of Insurance </w:t>
      </w:r>
      <w:r w:rsidR="002412AD">
        <w:rPr>
          <w:rFonts w:asciiTheme="majorBidi" w:hAnsiTheme="majorBidi" w:cstheme="majorBidi"/>
          <w:b/>
          <w:bCs/>
          <w:sz w:val="28"/>
          <w:szCs w:val="28"/>
        </w:rPr>
        <w:t>Claim</w:t>
      </w:r>
    </w:p>
    <w:bookmarkEnd w:id="0"/>
    <w:p w:rsidR="00BF1AB5" w:rsidRPr="00112E18" w:rsidRDefault="00BF1AB5" w:rsidP="00BF1AB5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BF1AB5" w:rsidRPr="00112E18" w:rsidRDefault="00BF1AB5" w:rsidP="00855867">
      <w:pPr>
        <w:bidi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112E18">
        <w:rPr>
          <w:rFonts w:asciiTheme="majorBidi" w:hAnsiTheme="majorBidi" w:cstheme="majorBidi"/>
          <w:sz w:val="28"/>
          <w:szCs w:val="28"/>
        </w:rPr>
        <w:t>By: Peggy Sharon, Adv.</w:t>
      </w:r>
      <w:r w:rsidR="00DF4456">
        <w:rPr>
          <w:rFonts w:asciiTheme="majorBidi" w:hAnsiTheme="majorBidi" w:cstheme="majorBidi"/>
          <w:sz w:val="28"/>
          <w:szCs w:val="28"/>
        </w:rPr>
        <w:t xml:space="preserve"> </w:t>
      </w:r>
      <w:r w:rsidR="00855867">
        <w:rPr>
          <w:rFonts w:asciiTheme="majorBidi" w:hAnsiTheme="majorBidi" w:cstheme="majorBidi"/>
          <w:sz w:val="28"/>
          <w:szCs w:val="28"/>
        </w:rPr>
        <w:t>&amp;</w:t>
      </w:r>
      <w:r w:rsidR="00DF445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F4456">
        <w:rPr>
          <w:rFonts w:asciiTheme="majorBidi" w:hAnsiTheme="majorBidi" w:cstheme="majorBidi"/>
          <w:sz w:val="28"/>
          <w:szCs w:val="28"/>
        </w:rPr>
        <w:t>Alon</w:t>
      </w:r>
      <w:proofErr w:type="spellEnd"/>
      <w:r w:rsidR="00DF4456">
        <w:rPr>
          <w:rFonts w:asciiTheme="majorBidi" w:hAnsiTheme="majorBidi" w:cstheme="majorBidi"/>
          <w:sz w:val="28"/>
          <w:szCs w:val="28"/>
        </w:rPr>
        <w:t xml:space="preserve"> Katz, Adv.</w:t>
      </w:r>
    </w:p>
    <w:p w:rsidR="00304858" w:rsidRPr="00112E18" w:rsidRDefault="00304858" w:rsidP="00304858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017E6E" w:rsidRPr="00112E18" w:rsidRDefault="00017E6E" w:rsidP="00304858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12E18">
        <w:rPr>
          <w:rFonts w:asciiTheme="majorBidi" w:hAnsiTheme="majorBidi" w:cstheme="majorBidi"/>
          <w:b/>
          <w:bCs/>
          <w:sz w:val="28"/>
          <w:szCs w:val="28"/>
          <w:u w:val="single"/>
        </w:rPr>
        <w:t>Introduction:</w:t>
      </w:r>
    </w:p>
    <w:p w:rsidR="00827208" w:rsidRDefault="009B4056" w:rsidP="007219CB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Prior the </w:t>
      </w:r>
      <w:r w:rsidRPr="008B5BBD">
        <w:rPr>
          <w:rFonts w:asciiTheme="majorBidi" w:hAnsiTheme="majorBidi" w:cstheme="majorBidi"/>
          <w:b/>
          <w:bCs/>
          <w:sz w:val="28"/>
          <w:szCs w:val="28"/>
        </w:rPr>
        <w:t>Insurance Contract Law</w:t>
      </w:r>
      <w:r w:rsidRPr="00112E18">
        <w:rPr>
          <w:rFonts w:asciiTheme="majorBidi" w:hAnsiTheme="majorBidi" w:cstheme="majorBidi"/>
          <w:sz w:val="28"/>
          <w:szCs w:val="28"/>
        </w:rPr>
        <w:t xml:space="preserve"> (1981) (</w:t>
      </w:r>
      <w:r>
        <w:rPr>
          <w:rFonts w:asciiTheme="majorBidi" w:hAnsiTheme="majorBidi" w:cstheme="majorBidi"/>
          <w:sz w:val="28"/>
          <w:szCs w:val="28"/>
        </w:rPr>
        <w:t>also</w:t>
      </w:r>
      <w:r w:rsidRPr="008B5BBD">
        <w:rPr>
          <w:rFonts w:asciiTheme="majorBidi" w:hAnsiTheme="majorBidi" w:cstheme="majorBidi"/>
          <w:sz w:val="28"/>
          <w:szCs w:val="28"/>
        </w:rPr>
        <w:t>: "the law"</w:t>
      </w:r>
      <w:r w:rsidRPr="00112E18">
        <w:rPr>
          <w:rFonts w:asciiTheme="majorBidi" w:hAnsiTheme="majorBidi" w:cstheme="majorBidi"/>
          <w:sz w:val="28"/>
          <w:szCs w:val="28"/>
        </w:rPr>
        <w:t>)</w:t>
      </w:r>
      <w:r w:rsidRPr="009B4056">
        <w:rPr>
          <w:rFonts w:asciiTheme="majorBidi" w:hAnsiTheme="majorBidi" w:cstheme="majorBidi"/>
          <w:sz w:val="28"/>
          <w:szCs w:val="28"/>
        </w:rPr>
        <w:t xml:space="preserve"> </w:t>
      </w:r>
      <w:r w:rsidRPr="00112E18">
        <w:rPr>
          <w:rFonts w:asciiTheme="majorBidi" w:hAnsiTheme="majorBidi" w:cstheme="majorBidi"/>
          <w:sz w:val="28"/>
          <w:szCs w:val="28"/>
        </w:rPr>
        <w:t xml:space="preserve">failure to </w:t>
      </w:r>
      <w:r>
        <w:rPr>
          <w:rFonts w:asciiTheme="majorBidi" w:hAnsiTheme="majorBidi" w:cstheme="majorBidi"/>
          <w:sz w:val="28"/>
          <w:szCs w:val="28"/>
        </w:rPr>
        <w:t>take protective measures</w:t>
      </w:r>
      <w:r w:rsidRPr="00112E18">
        <w:rPr>
          <w:rFonts w:asciiTheme="majorBidi" w:hAnsiTheme="majorBidi" w:cstheme="majorBidi"/>
          <w:sz w:val="28"/>
          <w:szCs w:val="28"/>
        </w:rPr>
        <w:t xml:space="preserve"> </w:t>
      </w:r>
      <w:r w:rsidR="00B74890">
        <w:rPr>
          <w:rFonts w:asciiTheme="majorBidi" w:hAnsiTheme="majorBidi" w:cstheme="majorBidi"/>
          <w:sz w:val="28"/>
          <w:szCs w:val="28"/>
        </w:rPr>
        <w:t>could</w:t>
      </w:r>
      <w:r w:rsidRPr="00112E1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lead to a</w:t>
      </w:r>
      <w:r w:rsidRPr="00112E18">
        <w:rPr>
          <w:rFonts w:asciiTheme="majorBidi" w:hAnsiTheme="majorBidi" w:cstheme="majorBidi"/>
          <w:sz w:val="28"/>
          <w:szCs w:val="28"/>
        </w:rPr>
        <w:t xml:space="preserve"> complete loss of </w:t>
      </w:r>
      <w:r w:rsidRPr="00345F0C">
        <w:rPr>
          <w:rFonts w:asciiTheme="majorBidi" w:hAnsiTheme="majorBidi" w:cstheme="majorBidi"/>
          <w:sz w:val="28"/>
          <w:szCs w:val="28"/>
        </w:rPr>
        <w:t>benefits</w:t>
      </w:r>
      <w:r>
        <w:rPr>
          <w:rFonts w:asciiTheme="majorBidi" w:hAnsiTheme="majorBidi" w:cstheme="majorBidi"/>
          <w:sz w:val="28"/>
          <w:szCs w:val="28"/>
        </w:rPr>
        <w:t>.</w:t>
      </w:r>
      <w:r w:rsidRPr="00112E18">
        <w:rPr>
          <w:rFonts w:asciiTheme="majorBidi" w:hAnsiTheme="majorBidi" w:cstheme="majorBidi"/>
          <w:sz w:val="28"/>
          <w:szCs w:val="28"/>
        </w:rPr>
        <w:t xml:space="preserve"> </w:t>
      </w:r>
      <w:r w:rsidR="00C438C2">
        <w:rPr>
          <w:rFonts w:asciiTheme="majorBidi" w:hAnsiTheme="majorBidi" w:cstheme="majorBidi"/>
          <w:sz w:val="28"/>
          <w:szCs w:val="28"/>
        </w:rPr>
        <w:t>Since then, most court ruling</w:t>
      </w:r>
      <w:r w:rsidR="00C41F20">
        <w:rPr>
          <w:rFonts w:asciiTheme="majorBidi" w:hAnsiTheme="majorBidi" w:cstheme="majorBidi"/>
          <w:sz w:val="28"/>
          <w:szCs w:val="28"/>
        </w:rPr>
        <w:t>s</w:t>
      </w:r>
      <w:r w:rsidR="00C438C2">
        <w:rPr>
          <w:rFonts w:asciiTheme="majorBidi" w:hAnsiTheme="majorBidi" w:cstheme="majorBidi"/>
          <w:sz w:val="28"/>
          <w:szCs w:val="28"/>
        </w:rPr>
        <w:t xml:space="preserve"> have applied </w:t>
      </w:r>
      <w:r w:rsidR="00D912BF" w:rsidRPr="00112E18">
        <w:rPr>
          <w:rFonts w:asciiTheme="majorBidi" w:hAnsiTheme="majorBidi" w:cstheme="majorBidi"/>
          <w:sz w:val="28"/>
          <w:szCs w:val="28"/>
        </w:rPr>
        <w:t>Article 21 of the</w:t>
      </w:r>
      <w:r>
        <w:rPr>
          <w:rFonts w:asciiTheme="majorBidi" w:hAnsiTheme="majorBidi" w:cstheme="majorBidi"/>
          <w:sz w:val="28"/>
          <w:szCs w:val="28"/>
        </w:rPr>
        <w:t xml:space="preserve"> law</w:t>
      </w:r>
      <w:r w:rsidR="00D912BF" w:rsidRPr="00112E18">
        <w:rPr>
          <w:rFonts w:asciiTheme="majorBidi" w:hAnsiTheme="majorBidi" w:cstheme="majorBidi"/>
          <w:sz w:val="28"/>
          <w:szCs w:val="28"/>
        </w:rPr>
        <w:t>,</w:t>
      </w:r>
      <w:r w:rsidR="00C438C2">
        <w:rPr>
          <w:rFonts w:asciiTheme="majorBidi" w:hAnsiTheme="majorBidi" w:cstheme="majorBidi"/>
          <w:sz w:val="28"/>
          <w:szCs w:val="28"/>
        </w:rPr>
        <w:t xml:space="preserve"> which</w:t>
      </w:r>
      <w:r w:rsidR="00D912BF" w:rsidRPr="00112E18">
        <w:rPr>
          <w:rFonts w:asciiTheme="majorBidi" w:hAnsiTheme="majorBidi" w:cstheme="majorBidi"/>
          <w:sz w:val="28"/>
          <w:szCs w:val="28"/>
        </w:rPr>
        <w:t xml:space="preserve"> </w:t>
      </w:r>
      <w:r w:rsidR="00CE7331" w:rsidRPr="00112E18">
        <w:rPr>
          <w:rFonts w:asciiTheme="majorBidi" w:hAnsiTheme="majorBidi" w:cstheme="majorBidi"/>
          <w:sz w:val="28"/>
          <w:szCs w:val="28"/>
        </w:rPr>
        <w:t xml:space="preserve">provides that </w:t>
      </w:r>
      <w:r w:rsidR="00FE6722" w:rsidRPr="00112E18">
        <w:rPr>
          <w:rFonts w:asciiTheme="majorBidi" w:hAnsiTheme="majorBidi" w:cstheme="majorBidi"/>
          <w:sz w:val="28"/>
          <w:szCs w:val="28"/>
        </w:rPr>
        <w:t xml:space="preserve">if the insured fails to take </w:t>
      </w:r>
      <w:r w:rsidR="009F6B0B" w:rsidRPr="00112E18">
        <w:rPr>
          <w:rFonts w:asciiTheme="majorBidi" w:hAnsiTheme="majorBidi" w:cstheme="majorBidi"/>
          <w:sz w:val="28"/>
          <w:szCs w:val="28"/>
        </w:rPr>
        <w:t xml:space="preserve">measures for </w:t>
      </w:r>
      <w:r w:rsidR="00121B81" w:rsidRPr="00112E18">
        <w:rPr>
          <w:rFonts w:asciiTheme="majorBidi" w:hAnsiTheme="majorBidi" w:cstheme="majorBidi"/>
          <w:sz w:val="28"/>
          <w:szCs w:val="28"/>
        </w:rPr>
        <w:t>mitigation</w:t>
      </w:r>
      <w:r w:rsidR="00CF2706">
        <w:rPr>
          <w:rFonts w:asciiTheme="majorBidi" w:hAnsiTheme="majorBidi" w:cstheme="majorBidi"/>
          <w:sz w:val="28"/>
          <w:szCs w:val="28"/>
        </w:rPr>
        <w:t xml:space="preserve"> of risk as stipulated in the contract</w:t>
      </w:r>
      <w:r w:rsidR="009F6B0B" w:rsidRPr="00112E18">
        <w:rPr>
          <w:rFonts w:asciiTheme="majorBidi" w:hAnsiTheme="majorBidi" w:cstheme="majorBidi"/>
          <w:sz w:val="28"/>
          <w:szCs w:val="28"/>
        </w:rPr>
        <w:t>,</w:t>
      </w:r>
      <w:r w:rsidR="00C41F20">
        <w:rPr>
          <w:rFonts w:asciiTheme="majorBidi" w:hAnsiTheme="majorBidi" w:cstheme="majorBidi"/>
          <w:sz w:val="28"/>
          <w:szCs w:val="28"/>
        </w:rPr>
        <w:t xml:space="preserve"> the insurer may be entitled </w:t>
      </w:r>
      <w:r w:rsidR="007219CB">
        <w:rPr>
          <w:rFonts w:asciiTheme="majorBidi" w:hAnsiTheme="majorBidi" w:cstheme="majorBidi"/>
          <w:sz w:val="28"/>
          <w:szCs w:val="28"/>
        </w:rPr>
        <w:t>to</w:t>
      </w:r>
      <w:r w:rsidR="00B00A9D" w:rsidRPr="00112E18">
        <w:rPr>
          <w:rFonts w:asciiTheme="majorBidi" w:hAnsiTheme="majorBidi" w:cstheme="majorBidi"/>
          <w:sz w:val="28"/>
          <w:szCs w:val="28"/>
        </w:rPr>
        <w:t xml:space="preserve"> reduced benefits or even </w:t>
      </w:r>
      <w:r w:rsidR="00142237">
        <w:rPr>
          <w:rFonts w:asciiTheme="majorBidi" w:hAnsiTheme="majorBidi" w:cstheme="majorBidi"/>
          <w:sz w:val="28"/>
          <w:szCs w:val="28"/>
        </w:rPr>
        <w:t xml:space="preserve">be </w:t>
      </w:r>
      <w:r w:rsidR="00EC7B85">
        <w:rPr>
          <w:rFonts w:asciiTheme="majorBidi" w:hAnsiTheme="majorBidi" w:cstheme="majorBidi"/>
          <w:sz w:val="28"/>
          <w:szCs w:val="28"/>
        </w:rPr>
        <w:t>total</w:t>
      </w:r>
      <w:r w:rsidR="00C41F20">
        <w:rPr>
          <w:rFonts w:asciiTheme="majorBidi" w:hAnsiTheme="majorBidi" w:cstheme="majorBidi"/>
          <w:sz w:val="28"/>
          <w:szCs w:val="28"/>
        </w:rPr>
        <w:t>ly</w:t>
      </w:r>
      <w:r w:rsidR="00EC7B85">
        <w:rPr>
          <w:rFonts w:asciiTheme="majorBidi" w:hAnsiTheme="majorBidi" w:cstheme="majorBidi"/>
          <w:sz w:val="28"/>
          <w:szCs w:val="28"/>
        </w:rPr>
        <w:t xml:space="preserve"> discharge</w:t>
      </w:r>
      <w:r w:rsidR="00C41F20">
        <w:rPr>
          <w:rFonts w:asciiTheme="majorBidi" w:hAnsiTheme="majorBidi" w:cstheme="majorBidi"/>
          <w:sz w:val="28"/>
          <w:szCs w:val="28"/>
        </w:rPr>
        <w:t>d</w:t>
      </w:r>
      <w:r w:rsidR="00A547B1" w:rsidRPr="00112E18">
        <w:rPr>
          <w:rFonts w:asciiTheme="majorBidi" w:hAnsiTheme="majorBidi" w:cstheme="majorBidi"/>
          <w:sz w:val="28"/>
          <w:szCs w:val="28"/>
        </w:rPr>
        <w:t xml:space="preserve"> from </w:t>
      </w:r>
      <w:r w:rsidR="00B2035E" w:rsidRPr="00112E18">
        <w:rPr>
          <w:rFonts w:asciiTheme="majorBidi" w:hAnsiTheme="majorBidi" w:cstheme="majorBidi"/>
          <w:sz w:val="28"/>
          <w:szCs w:val="28"/>
        </w:rPr>
        <w:t>liability.</w:t>
      </w:r>
    </w:p>
    <w:p w:rsidR="00E10308" w:rsidRPr="00112E18" w:rsidRDefault="00B2035E" w:rsidP="00827208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2E18">
        <w:rPr>
          <w:rFonts w:asciiTheme="majorBidi" w:hAnsiTheme="majorBidi" w:cstheme="majorBidi"/>
          <w:sz w:val="28"/>
          <w:szCs w:val="28"/>
        </w:rPr>
        <w:t xml:space="preserve"> </w:t>
      </w:r>
    </w:p>
    <w:p w:rsidR="00AF669A" w:rsidRDefault="00CE533B" w:rsidP="00DB65B2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2E18">
        <w:rPr>
          <w:rFonts w:asciiTheme="majorBidi" w:hAnsiTheme="majorBidi" w:cstheme="majorBidi"/>
          <w:sz w:val="28"/>
          <w:szCs w:val="28"/>
        </w:rPr>
        <w:t xml:space="preserve">In </w:t>
      </w:r>
      <w:r w:rsidR="00AF669A">
        <w:rPr>
          <w:rFonts w:asciiTheme="majorBidi" w:hAnsiTheme="majorBidi" w:cstheme="majorBidi"/>
          <w:b/>
          <w:bCs/>
          <w:sz w:val="28"/>
          <w:szCs w:val="28"/>
        </w:rPr>
        <w:t xml:space="preserve">Lloyds Underwriters v. </w:t>
      </w:r>
      <w:proofErr w:type="spellStart"/>
      <w:r w:rsidRPr="00112E18">
        <w:rPr>
          <w:rFonts w:asciiTheme="majorBidi" w:hAnsiTheme="majorBidi" w:cstheme="majorBidi"/>
          <w:b/>
          <w:bCs/>
          <w:sz w:val="28"/>
          <w:szCs w:val="28"/>
        </w:rPr>
        <w:t>Slutzky</w:t>
      </w:r>
      <w:proofErr w:type="spellEnd"/>
      <w:r w:rsidR="009E4A24" w:rsidRPr="00112E18">
        <w:rPr>
          <w:rStyle w:val="a5"/>
          <w:rFonts w:asciiTheme="majorBidi" w:hAnsiTheme="majorBidi" w:cstheme="majorBidi"/>
          <w:b/>
          <w:bCs/>
          <w:sz w:val="28"/>
          <w:szCs w:val="28"/>
        </w:rPr>
        <w:footnoteReference w:id="1"/>
      </w:r>
      <w:r w:rsidR="00AF669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AF669A">
        <w:rPr>
          <w:rFonts w:asciiTheme="majorBidi" w:hAnsiTheme="majorBidi" w:cstheme="majorBidi"/>
          <w:sz w:val="28"/>
          <w:szCs w:val="28"/>
        </w:rPr>
        <w:t xml:space="preserve">(hereinafter: </w:t>
      </w:r>
      <w:r w:rsidR="00AF669A">
        <w:rPr>
          <w:rFonts w:asciiTheme="majorBidi" w:hAnsiTheme="majorBidi" w:cstheme="majorBidi"/>
          <w:b/>
          <w:bCs/>
          <w:sz w:val="28"/>
          <w:szCs w:val="28"/>
        </w:rPr>
        <w:t>"</w:t>
      </w:r>
      <w:proofErr w:type="spellStart"/>
      <w:r w:rsidR="00AF669A">
        <w:rPr>
          <w:rFonts w:asciiTheme="majorBidi" w:hAnsiTheme="majorBidi" w:cstheme="majorBidi"/>
          <w:b/>
          <w:bCs/>
          <w:sz w:val="28"/>
          <w:szCs w:val="28"/>
        </w:rPr>
        <w:t>Slutzky</w:t>
      </w:r>
      <w:proofErr w:type="spellEnd"/>
      <w:r w:rsidR="00AF669A">
        <w:rPr>
          <w:rFonts w:asciiTheme="majorBidi" w:hAnsiTheme="majorBidi" w:cstheme="majorBidi"/>
          <w:b/>
          <w:bCs/>
          <w:sz w:val="28"/>
          <w:szCs w:val="28"/>
        </w:rPr>
        <w:t>"</w:t>
      </w:r>
      <w:r w:rsidR="00AF669A">
        <w:rPr>
          <w:rFonts w:asciiTheme="majorBidi" w:hAnsiTheme="majorBidi" w:cstheme="majorBidi"/>
          <w:sz w:val="28"/>
          <w:szCs w:val="28"/>
        </w:rPr>
        <w:t>)</w:t>
      </w:r>
      <w:r w:rsidRPr="00112E18">
        <w:rPr>
          <w:rFonts w:asciiTheme="majorBidi" w:hAnsiTheme="majorBidi" w:cstheme="majorBidi"/>
          <w:sz w:val="28"/>
          <w:szCs w:val="28"/>
        </w:rPr>
        <w:t xml:space="preserve">, </w:t>
      </w:r>
      <w:r w:rsidR="004C2019" w:rsidRPr="00112E18">
        <w:rPr>
          <w:rFonts w:asciiTheme="majorBidi" w:hAnsiTheme="majorBidi" w:cstheme="majorBidi"/>
          <w:sz w:val="28"/>
          <w:szCs w:val="28"/>
        </w:rPr>
        <w:t>which was the first binding ruling by the Supreme Court on this matter</w:t>
      </w:r>
      <w:r w:rsidR="004C2019">
        <w:rPr>
          <w:rFonts w:asciiTheme="majorBidi" w:hAnsiTheme="majorBidi" w:cstheme="majorBidi"/>
          <w:sz w:val="28"/>
          <w:szCs w:val="28"/>
        </w:rPr>
        <w:t>,</w:t>
      </w:r>
      <w:r w:rsidR="004C2019" w:rsidRPr="00112E18">
        <w:rPr>
          <w:rFonts w:asciiTheme="majorBidi" w:hAnsiTheme="majorBidi" w:cstheme="majorBidi"/>
          <w:sz w:val="28"/>
          <w:szCs w:val="28"/>
        </w:rPr>
        <w:t xml:space="preserve"> </w:t>
      </w:r>
      <w:r w:rsidR="00CC67A9" w:rsidRPr="00112E18">
        <w:rPr>
          <w:rFonts w:asciiTheme="majorBidi" w:hAnsiTheme="majorBidi" w:cstheme="majorBidi"/>
          <w:sz w:val="28"/>
          <w:szCs w:val="28"/>
        </w:rPr>
        <w:t xml:space="preserve">the insured </w:t>
      </w:r>
      <w:r w:rsidR="005825A6">
        <w:rPr>
          <w:rFonts w:asciiTheme="majorBidi" w:hAnsiTheme="majorBidi" w:cstheme="majorBidi"/>
          <w:sz w:val="28"/>
          <w:szCs w:val="28"/>
        </w:rPr>
        <w:t>failed to</w:t>
      </w:r>
      <w:r w:rsidR="009E4A24">
        <w:rPr>
          <w:rFonts w:asciiTheme="majorBidi" w:hAnsiTheme="majorBidi" w:cstheme="majorBidi"/>
          <w:sz w:val="28"/>
          <w:szCs w:val="28"/>
        </w:rPr>
        <w:t xml:space="preserve"> lock his</w:t>
      </w:r>
      <w:r w:rsidR="00CC67A9" w:rsidRPr="00112E18">
        <w:rPr>
          <w:rFonts w:asciiTheme="majorBidi" w:hAnsiTheme="majorBidi" w:cstheme="majorBidi"/>
          <w:sz w:val="28"/>
          <w:szCs w:val="28"/>
        </w:rPr>
        <w:t xml:space="preserve"> </w:t>
      </w:r>
      <w:r w:rsidR="005021C9" w:rsidRPr="00112E18">
        <w:rPr>
          <w:rFonts w:asciiTheme="majorBidi" w:hAnsiTheme="majorBidi" w:cstheme="majorBidi"/>
          <w:sz w:val="28"/>
          <w:szCs w:val="28"/>
        </w:rPr>
        <w:t>jewelry</w:t>
      </w:r>
      <w:r w:rsidR="00CC67A9" w:rsidRPr="00112E18">
        <w:rPr>
          <w:rFonts w:asciiTheme="majorBidi" w:hAnsiTheme="majorBidi" w:cstheme="majorBidi"/>
          <w:sz w:val="28"/>
          <w:szCs w:val="28"/>
        </w:rPr>
        <w:t xml:space="preserve"> in </w:t>
      </w:r>
      <w:r w:rsidR="009E4A24">
        <w:rPr>
          <w:rFonts w:asciiTheme="majorBidi" w:hAnsiTheme="majorBidi" w:cstheme="majorBidi"/>
          <w:sz w:val="28"/>
          <w:szCs w:val="28"/>
        </w:rPr>
        <w:t>a</w:t>
      </w:r>
      <w:r w:rsidR="00CC67A9" w:rsidRPr="00112E18">
        <w:rPr>
          <w:rFonts w:asciiTheme="majorBidi" w:hAnsiTheme="majorBidi" w:cstheme="majorBidi"/>
          <w:sz w:val="28"/>
          <w:szCs w:val="28"/>
        </w:rPr>
        <w:t xml:space="preserve"> safe</w:t>
      </w:r>
      <w:r w:rsidR="005825A6">
        <w:rPr>
          <w:rFonts w:asciiTheme="majorBidi" w:hAnsiTheme="majorBidi" w:cstheme="majorBidi"/>
          <w:sz w:val="28"/>
          <w:szCs w:val="28"/>
        </w:rPr>
        <w:t xml:space="preserve"> as preconditioned in the policy. The </w:t>
      </w:r>
      <w:r w:rsidR="00873734">
        <w:rPr>
          <w:rFonts w:asciiTheme="majorBidi" w:hAnsiTheme="majorBidi" w:cstheme="majorBidi"/>
          <w:sz w:val="28"/>
          <w:szCs w:val="28"/>
        </w:rPr>
        <w:t>jewelry</w:t>
      </w:r>
      <w:r w:rsidR="00891A25">
        <w:rPr>
          <w:rFonts w:asciiTheme="majorBidi" w:hAnsiTheme="majorBidi" w:cstheme="majorBidi"/>
          <w:sz w:val="28"/>
          <w:szCs w:val="28"/>
        </w:rPr>
        <w:t xml:space="preserve"> was</w:t>
      </w:r>
      <w:r w:rsidR="005021C9" w:rsidRPr="00112E18">
        <w:rPr>
          <w:rFonts w:asciiTheme="majorBidi" w:hAnsiTheme="majorBidi" w:cstheme="majorBidi"/>
          <w:sz w:val="28"/>
          <w:szCs w:val="28"/>
        </w:rPr>
        <w:t xml:space="preserve"> </w:t>
      </w:r>
      <w:r w:rsidR="005825A6">
        <w:rPr>
          <w:rFonts w:asciiTheme="majorBidi" w:hAnsiTheme="majorBidi" w:cstheme="majorBidi"/>
          <w:sz w:val="28"/>
          <w:szCs w:val="28"/>
        </w:rPr>
        <w:t>subsequently stolen</w:t>
      </w:r>
      <w:r w:rsidR="009E4A24">
        <w:rPr>
          <w:rFonts w:asciiTheme="majorBidi" w:hAnsiTheme="majorBidi" w:cstheme="majorBidi"/>
          <w:sz w:val="28"/>
          <w:szCs w:val="28"/>
        </w:rPr>
        <w:t xml:space="preserve"> in a burglary.</w:t>
      </w:r>
      <w:r w:rsidR="005021C9" w:rsidRPr="00112E18">
        <w:rPr>
          <w:rFonts w:asciiTheme="majorBidi" w:hAnsiTheme="majorBidi" w:cstheme="majorBidi"/>
          <w:sz w:val="28"/>
          <w:szCs w:val="28"/>
        </w:rPr>
        <w:t xml:space="preserve"> </w:t>
      </w:r>
    </w:p>
    <w:p w:rsidR="00AF669A" w:rsidRDefault="00AF669A" w:rsidP="00AF669A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F37C11" w:rsidRDefault="00D8148E" w:rsidP="00202EB0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2E18">
        <w:rPr>
          <w:rFonts w:asciiTheme="majorBidi" w:hAnsiTheme="majorBidi" w:cstheme="majorBidi"/>
          <w:sz w:val="28"/>
          <w:szCs w:val="28"/>
        </w:rPr>
        <w:t xml:space="preserve">The Supreme Court </w:t>
      </w:r>
      <w:r w:rsidR="0098456B" w:rsidRPr="00112E18">
        <w:rPr>
          <w:rFonts w:asciiTheme="majorBidi" w:hAnsiTheme="majorBidi" w:cstheme="majorBidi"/>
          <w:sz w:val="28"/>
          <w:szCs w:val="28"/>
        </w:rPr>
        <w:t>ruled</w:t>
      </w:r>
      <w:r w:rsidRPr="00112E18">
        <w:rPr>
          <w:rFonts w:asciiTheme="majorBidi" w:hAnsiTheme="majorBidi" w:cstheme="majorBidi"/>
          <w:sz w:val="28"/>
          <w:szCs w:val="28"/>
        </w:rPr>
        <w:t xml:space="preserve"> that Article 21 should </w:t>
      </w:r>
      <w:r w:rsidR="00CC6D8C">
        <w:rPr>
          <w:rFonts w:asciiTheme="majorBidi" w:hAnsiTheme="majorBidi" w:cstheme="majorBidi"/>
          <w:sz w:val="28"/>
          <w:szCs w:val="28"/>
        </w:rPr>
        <w:t>apply</w:t>
      </w:r>
      <w:r w:rsidRPr="00112E18">
        <w:rPr>
          <w:rFonts w:asciiTheme="majorBidi" w:hAnsiTheme="majorBidi" w:cstheme="majorBidi"/>
          <w:sz w:val="28"/>
          <w:szCs w:val="28"/>
        </w:rPr>
        <w:t xml:space="preserve"> also where a protective measure was installed but not activated or </w:t>
      </w:r>
      <w:r w:rsidR="00977AD2">
        <w:rPr>
          <w:rFonts w:asciiTheme="majorBidi" w:hAnsiTheme="majorBidi" w:cstheme="majorBidi"/>
          <w:sz w:val="28"/>
          <w:szCs w:val="28"/>
        </w:rPr>
        <w:t>used</w:t>
      </w:r>
      <w:r w:rsidRPr="00112E18">
        <w:rPr>
          <w:rFonts w:asciiTheme="majorBidi" w:hAnsiTheme="majorBidi" w:cstheme="majorBidi"/>
          <w:sz w:val="28"/>
          <w:szCs w:val="28"/>
        </w:rPr>
        <w:t>, and that failur</w:t>
      </w:r>
      <w:r w:rsidR="00B03AE9" w:rsidRPr="00112E18">
        <w:rPr>
          <w:rFonts w:asciiTheme="majorBidi" w:hAnsiTheme="majorBidi" w:cstheme="majorBidi"/>
          <w:sz w:val="28"/>
          <w:szCs w:val="28"/>
        </w:rPr>
        <w:t>e to install or apply a protective measure should be examined by using the following analysis: 1.Does the insurer market a policy which does not require the risk mitigation measure in question</w:t>
      </w:r>
      <w:r w:rsidR="00DE3A9B" w:rsidRPr="00112E18">
        <w:rPr>
          <w:rFonts w:asciiTheme="majorBidi" w:hAnsiTheme="majorBidi" w:cstheme="majorBidi"/>
          <w:sz w:val="28"/>
          <w:szCs w:val="28"/>
        </w:rPr>
        <w:t xml:space="preserve"> ("alternative policy")</w:t>
      </w:r>
      <w:r w:rsidR="00B03AE9" w:rsidRPr="00112E18">
        <w:rPr>
          <w:rFonts w:asciiTheme="majorBidi" w:hAnsiTheme="majorBidi" w:cstheme="majorBidi"/>
          <w:sz w:val="28"/>
          <w:szCs w:val="28"/>
        </w:rPr>
        <w:t xml:space="preserve">? If </w:t>
      </w:r>
      <w:r w:rsidR="00DE3A9B" w:rsidRPr="00112E18">
        <w:rPr>
          <w:rFonts w:asciiTheme="majorBidi" w:hAnsiTheme="majorBidi" w:cstheme="majorBidi"/>
          <w:sz w:val="28"/>
          <w:szCs w:val="28"/>
        </w:rPr>
        <w:t xml:space="preserve">so – the benefits should be proportional to the premiums charged for this alternative policy; 2. If such </w:t>
      </w:r>
      <w:r w:rsidR="006D337B" w:rsidRPr="00112E18">
        <w:rPr>
          <w:rFonts w:asciiTheme="majorBidi" w:hAnsiTheme="majorBidi" w:cstheme="majorBidi"/>
          <w:sz w:val="28"/>
          <w:szCs w:val="28"/>
        </w:rPr>
        <w:t>alternative</w:t>
      </w:r>
      <w:r w:rsidR="00DE3A9B" w:rsidRPr="00112E18">
        <w:rPr>
          <w:rFonts w:asciiTheme="majorBidi" w:hAnsiTheme="majorBidi" w:cstheme="majorBidi"/>
          <w:sz w:val="28"/>
          <w:szCs w:val="28"/>
        </w:rPr>
        <w:t xml:space="preserve"> policy is not marketed, the question is – whether a reasonable insurer would issue a policy which does not require said protective measure. If so – the benefits would be proportional to the estimation </w:t>
      </w:r>
      <w:r w:rsidR="006D337B" w:rsidRPr="00112E18">
        <w:rPr>
          <w:rFonts w:asciiTheme="majorBidi" w:hAnsiTheme="majorBidi" w:cstheme="majorBidi"/>
          <w:sz w:val="28"/>
          <w:szCs w:val="28"/>
        </w:rPr>
        <w:t>of premiums</w:t>
      </w:r>
      <w:r w:rsidR="00DE3A9B" w:rsidRPr="00112E18">
        <w:rPr>
          <w:rFonts w:asciiTheme="majorBidi" w:hAnsiTheme="majorBidi" w:cstheme="majorBidi"/>
          <w:sz w:val="28"/>
          <w:szCs w:val="28"/>
        </w:rPr>
        <w:t xml:space="preserve"> to be charged for this hypothetical alternative policy</w:t>
      </w:r>
      <w:r w:rsidR="00020A5A" w:rsidRPr="00112E18">
        <w:rPr>
          <w:rFonts w:asciiTheme="majorBidi" w:hAnsiTheme="majorBidi" w:cstheme="majorBidi"/>
          <w:sz w:val="28"/>
          <w:szCs w:val="28"/>
        </w:rPr>
        <w:t>; 3.If both</w:t>
      </w:r>
      <w:r w:rsidR="00202EB0">
        <w:rPr>
          <w:rFonts w:asciiTheme="majorBidi" w:hAnsiTheme="majorBidi" w:cstheme="majorBidi"/>
          <w:sz w:val="28"/>
          <w:szCs w:val="28"/>
        </w:rPr>
        <w:t xml:space="preserve"> questions above are answered in the negative</w:t>
      </w:r>
      <w:r w:rsidR="00020A5A" w:rsidRPr="00112E18">
        <w:rPr>
          <w:rFonts w:asciiTheme="majorBidi" w:hAnsiTheme="majorBidi" w:cstheme="majorBidi"/>
          <w:sz w:val="28"/>
          <w:szCs w:val="28"/>
        </w:rPr>
        <w:t xml:space="preserve">, the insurer will be </w:t>
      </w:r>
      <w:r w:rsidR="00FF3330">
        <w:rPr>
          <w:rFonts w:asciiTheme="majorBidi" w:hAnsiTheme="majorBidi" w:cstheme="majorBidi"/>
          <w:sz w:val="28"/>
          <w:szCs w:val="28"/>
        </w:rPr>
        <w:t>totally</w:t>
      </w:r>
      <w:r w:rsidR="00020A5A" w:rsidRPr="00112E18">
        <w:rPr>
          <w:rFonts w:asciiTheme="majorBidi" w:hAnsiTheme="majorBidi" w:cstheme="majorBidi"/>
          <w:sz w:val="28"/>
          <w:szCs w:val="28"/>
        </w:rPr>
        <w:t xml:space="preserve"> relieved from liability.</w:t>
      </w:r>
      <w:r w:rsidR="00DE3A9B" w:rsidRPr="00112E18">
        <w:rPr>
          <w:rFonts w:asciiTheme="majorBidi" w:hAnsiTheme="majorBidi" w:cstheme="majorBidi"/>
          <w:sz w:val="28"/>
          <w:szCs w:val="28"/>
        </w:rPr>
        <w:t xml:space="preserve"> </w:t>
      </w:r>
    </w:p>
    <w:p w:rsidR="00F37C11" w:rsidRDefault="00F37C11" w:rsidP="00F37C11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A041D" w:rsidRPr="00112E18" w:rsidRDefault="00AB4E16" w:rsidP="00780370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12E18">
        <w:rPr>
          <w:rFonts w:asciiTheme="majorBidi" w:hAnsiTheme="majorBidi" w:cstheme="majorBidi"/>
          <w:sz w:val="28"/>
          <w:szCs w:val="28"/>
        </w:rPr>
        <w:t xml:space="preserve">It should be noted that the burden of proof </w:t>
      </w:r>
      <w:r w:rsidR="002E6E64" w:rsidRPr="00112E18">
        <w:rPr>
          <w:rFonts w:asciiTheme="majorBidi" w:hAnsiTheme="majorBidi" w:cstheme="majorBidi"/>
          <w:sz w:val="28"/>
          <w:szCs w:val="28"/>
        </w:rPr>
        <w:t>in this analysis</w:t>
      </w:r>
      <w:r w:rsidRPr="00112E18">
        <w:rPr>
          <w:rFonts w:asciiTheme="majorBidi" w:hAnsiTheme="majorBidi" w:cstheme="majorBidi"/>
          <w:sz w:val="28"/>
          <w:szCs w:val="28"/>
        </w:rPr>
        <w:t xml:space="preserve"> </w:t>
      </w:r>
      <w:r w:rsidR="002E6E64" w:rsidRPr="00112E18">
        <w:rPr>
          <w:rFonts w:asciiTheme="majorBidi" w:hAnsiTheme="majorBidi" w:cstheme="majorBidi"/>
          <w:sz w:val="28"/>
          <w:szCs w:val="28"/>
        </w:rPr>
        <w:t xml:space="preserve">lies </w:t>
      </w:r>
      <w:r w:rsidR="005F2582" w:rsidRPr="00112E18">
        <w:rPr>
          <w:rFonts w:asciiTheme="majorBidi" w:hAnsiTheme="majorBidi" w:cstheme="majorBidi"/>
          <w:sz w:val="28"/>
          <w:szCs w:val="28"/>
        </w:rPr>
        <w:t xml:space="preserve">with the insurer. In order to prove that no reasonable insurer would issue a hypothetical alternative policy, a </w:t>
      </w:r>
      <w:r w:rsidR="00780370">
        <w:rPr>
          <w:rFonts w:asciiTheme="majorBidi" w:hAnsiTheme="majorBidi" w:cstheme="majorBidi"/>
          <w:sz w:val="28"/>
          <w:szCs w:val="28"/>
        </w:rPr>
        <w:t>testimony</w:t>
      </w:r>
      <w:r w:rsidR="005F2582" w:rsidRPr="00112E18">
        <w:rPr>
          <w:rFonts w:asciiTheme="majorBidi" w:hAnsiTheme="majorBidi" w:cstheme="majorBidi"/>
          <w:sz w:val="28"/>
          <w:szCs w:val="28"/>
        </w:rPr>
        <w:t xml:space="preserve"> by an actuary or other insurance professional, stating that he/she are unaware of such a policy marketed in Israel, shall suffice.</w:t>
      </w:r>
      <w:r w:rsidR="00AD4FD5" w:rsidRPr="00112E18">
        <w:rPr>
          <w:rFonts w:asciiTheme="majorBidi" w:hAnsiTheme="majorBidi" w:cstheme="majorBidi"/>
          <w:sz w:val="28"/>
          <w:szCs w:val="28"/>
        </w:rPr>
        <w:t xml:space="preserve"> </w:t>
      </w:r>
    </w:p>
    <w:p w:rsidR="003A041D" w:rsidRPr="00112E18" w:rsidRDefault="003A041D" w:rsidP="004826A2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64A10" w:rsidRDefault="00C64A10" w:rsidP="004826A2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414D18" w:rsidRDefault="00414D18" w:rsidP="00414D18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414D18" w:rsidRDefault="00414D18" w:rsidP="00414D18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414D18" w:rsidRDefault="00414D18" w:rsidP="00414D18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414D18" w:rsidRDefault="00414D18" w:rsidP="00414D18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414D18" w:rsidRPr="00112E18" w:rsidRDefault="00414D18" w:rsidP="00414D18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C64A10" w:rsidRPr="00112E18" w:rsidRDefault="00B03E4E" w:rsidP="00C64A10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112E18">
        <w:rPr>
          <w:rFonts w:asciiTheme="majorBidi" w:hAnsiTheme="majorBidi" w:cstheme="majorBidi"/>
          <w:b/>
          <w:bCs/>
          <w:sz w:val="28"/>
          <w:szCs w:val="28"/>
        </w:rPr>
        <w:t>Pollack Brothers Import Agencies Ltd. v.</w:t>
      </w:r>
      <w:proofErr w:type="gramEnd"/>
      <w:r w:rsidRPr="00112E1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Pr="00112E18">
        <w:rPr>
          <w:rFonts w:asciiTheme="majorBidi" w:hAnsiTheme="majorBidi" w:cstheme="majorBidi"/>
          <w:b/>
          <w:bCs/>
          <w:sz w:val="28"/>
          <w:szCs w:val="28"/>
        </w:rPr>
        <w:t>The Phoenix Insurance Co.</w:t>
      </w:r>
      <w:proofErr w:type="gramEnd"/>
      <w:r w:rsidRPr="00112E18">
        <w:rPr>
          <w:rStyle w:val="a5"/>
          <w:rFonts w:asciiTheme="majorBidi" w:hAnsiTheme="majorBidi" w:cstheme="majorBidi"/>
          <w:b/>
          <w:bCs/>
          <w:sz w:val="28"/>
          <w:szCs w:val="28"/>
        </w:rPr>
        <w:footnoteReference w:id="2"/>
      </w:r>
    </w:p>
    <w:p w:rsidR="00C64A10" w:rsidRPr="00112E18" w:rsidRDefault="00C64A10" w:rsidP="00C64A10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017E6E" w:rsidRPr="00112E18" w:rsidRDefault="00017E6E" w:rsidP="00C64A10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12E18">
        <w:rPr>
          <w:rFonts w:asciiTheme="majorBidi" w:hAnsiTheme="majorBidi" w:cstheme="majorBidi"/>
          <w:b/>
          <w:bCs/>
          <w:sz w:val="28"/>
          <w:szCs w:val="28"/>
          <w:u w:val="single"/>
        </w:rPr>
        <w:t>Facts:</w:t>
      </w:r>
    </w:p>
    <w:p w:rsidR="008A0763" w:rsidRPr="00112E18" w:rsidRDefault="008A2C22" w:rsidP="009B4CAC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2E18">
        <w:rPr>
          <w:rFonts w:asciiTheme="majorBidi" w:hAnsiTheme="majorBidi" w:cstheme="majorBidi"/>
          <w:sz w:val="28"/>
          <w:szCs w:val="28"/>
        </w:rPr>
        <w:t xml:space="preserve">The insured was an importer-exporter </w:t>
      </w:r>
      <w:r w:rsidR="00377E12">
        <w:rPr>
          <w:rFonts w:asciiTheme="majorBidi" w:hAnsiTheme="majorBidi" w:cstheme="majorBidi"/>
          <w:sz w:val="28"/>
          <w:szCs w:val="28"/>
        </w:rPr>
        <w:t>whose</w:t>
      </w:r>
      <w:r w:rsidR="009A6060" w:rsidRPr="00112E18">
        <w:rPr>
          <w:rFonts w:asciiTheme="majorBidi" w:hAnsiTheme="majorBidi" w:cstheme="majorBidi"/>
          <w:sz w:val="28"/>
          <w:szCs w:val="28"/>
        </w:rPr>
        <w:t xml:space="preserve"> business was insured in a policy which covered conten</w:t>
      </w:r>
      <w:r w:rsidR="004226C1" w:rsidRPr="00112E18">
        <w:rPr>
          <w:rFonts w:asciiTheme="majorBidi" w:hAnsiTheme="majorBidi" w:cstheme="majorBidi"/>
          <w:sz w:val="28"/>
          <w:szCs w:val="28"/>
        </w:rPr>
        <w:t>t and inventory damage, burglary</w:t>
      </w:r>
      <w:r w:rsidR="009A6060" w:rsidRPr="00112E18">
        <w:rPr>
          <w:rFonts w:asciiTheme="majorBidi" w:hAnsiTheme="majorBidi" w:cstheme="majorBidi"/>
          <w:sz w:val="28"/>
          <w:szCs w:val="28"/>
        </w:rPr>
        <w:t xml:space="preserve"> and robbery risks and structural damage.</w:t>
      </w:r>
      <w:r w:rsidR="004226C1" w:rsidRPr="00112E18">
        <w:rPr>
          <w:rFonts w:asciiTheme="majorBidi" w:hAnsiTheme="majorBidi" w:cstheme="majorBidi"/>
          <w:sz w:val="28"/>
          <w:szCs w:val="28"/>
        </w:rPr>
        <w:t xml:space="preserve"> </w:t>
      </w:r>
      <w:r w:rsidR="00E254AC">
        <w:rPr>
          <w:rFonts w:asciiTheme="majorBidi" w:hAnsiTheme="majorBidi" w:cstheme="majorBidi"/>
          <w:sz w:val="28"/>
          <w:szCs w:val="28"/>
        </w:rPr>
        <w:t>I</w:t>
      </w:r>
      <w:r w:rsidR="00143BDD">
        <w:rPr>
          <w:rFonts w:asciiTheme="majorBidi" w:hAnsiTheme="majorBidi" w:cstheme="majorBidi"/>
          <w:sz w:val="28"/>
          <w:szCs w:val="28"/>
        </w:rPr>
        <w:t>n the previous year</w:t>
      </w:r>
      <w:r w:rsidR="00EC4B2B" w:rsidRPr="00112E18">
        <w:rPr>
          <w:rFonts w:asciiTheme="majorBidi" w:hAnsiTheme="majorBidi" w:cstheme="majorBidi"/>
          <w:sz w:val="28"/>
          <w:szCs w:val="28"/>
        </w:rPr>
        <w:t xml:space="preserve">, the business was </w:t>
      </w:r>
      <w:r w:rsidR="00C82796">
        <w:rPr>
          <w:rFonts w:asciiTheme="majorBidi" w:hAnsiTheme="majorBidi" w:cstheme="majorBidi"/>
          <w:sz w:val="28"/>
          <w:szCs w:val="28"/>
        </w:rPr>
        <w:t>broken into</w:t>
      </w:r>
      <w:r w:rsidR="00EC4B2B" w:rsidRPr="00112E18">
        <w:rPr>
          <w:rFonts w:asciiTheme="majorBidi" w:hAnsiTheme="majorBidi" w:cstheme="majorBidi"/>
          <w:sz w:val="28"/>
          <w:szCs w:val="28"/>
        </w:rPr>
        <w:t>, and the insured was indemnified to the sum of 600,0</w:t>
      </w:r>
      <w:r w:rsidR="00A2713F">
        <w:rPr>
          <w:rFonts w:asciiTheme="majorBidi" w:hAnsiTheme="majorBidi" w:cstheme="majorBidi"/>
          <w:sz w:val="28"/>
          <w:szCs w:val="28"/>
        </w:rPr>
        <w:t>0</w:t>
      </w:r>
      <w:r w:rsidR="00EC4B2B" w:rsidRPr="00112E18">
        <w:rPr>
          <w:rFonts w:asciiTheme="majorBidi" w:hAnsiTheme="majorBidi" w:cstheme="majorBidi"/>
          <w:sz w:val="28"/>
          <w:szCs w:val="28"/>
        </w:rPr>
        <w:t xml:space="preserve">0-ILS. </w:t>
      </w:r>
      <w:r w:rsidR="00C20B15" w:rsidRPr="00112E18">
        <w:rPr>
          <w:rFonts w:asciiTheme="majorBidi" w:hAnsiTheme="majorBidi" w:cstheme="majorBidi"/>
          <w:sz w:val="28"/>
          <w:szCs w:val="28"/>
        </w:rPr>
        <w:t>Subsequently</w:t>
      </w:r>
      <w:r w:rsidR="00EC4B2B" w:rsidRPr="00112E18">
        <w:rPr>
          <w:rFonts w:asciiTheme="majorBidi" w:hAnsiTheme="majorBidi" w:cstheme="majorBidi"/>
          <w:sz w:val="28"/>
          <w:szCs w:val="28"/>
        </w:rPr>
        <w:t>, the new</w:t>
      </w:r>
      <w:r w:rsidR="004226C1" w:rsidRPr="00112E18">
        <w:rPr>
          <w:rFonts w:asciiTheme="majorBidi" w:hAnsiTheme="majorBidi" w:cstheme="majorBidi"/>
          <w:sz w:val="28"/>
          <w:szCs w:val="28"/>
        </w:rPr>
        <w:t xml:space="preserve"> policy stipulated as a precondition to the insurer's liability for burglary and robbery risks</w:t>
      </w:r>
      <w:r w:rsidR="004E4357">
        <w:rPr>
          <w:rFonts w:asciiTheme="majorBidi" w:hAnsiTheme="majorBidi" w:cstheme="majorBidi"/>
          <w:sz w:val="28"/>
          <w:szCs w:val="28"/>
        </w:rPr>
        <w:t>, that an</w:t>
      </w:r>
      <w:r w:rsidR="00445D3A" w:rsidRPr="00112E18">
        <w:rPr>
          <w:rFonts w:asciiTheme="majorBidi" w:hAnsiTheme="majorBidi" w:cstheme="majorBidi"/>
          <w:sz w:val="28"/>
          <w:szCs w:val="28"/>
        </w:rPr>
        <w:t xml:space="preserve"> </w:t>
      </w:r>
      <w:r w:rsidR="0016265C">
        <w:rPr>
          <w:rFonts w:asciiTheme="majorBidi" w:hAnsiTheme="majorBidi" w:cstheme="majorBidi"/>
          <w:sz w:val="28"/>
          <w:szCs w:val="28"/>
        </w:rPr>
        <w:t>authorized person</w:t>
      </w:r>
      <w:r w:rsidR="00445D3A" w:rsidRPr="00112E18">
        <w:rPr>
          <w:rFonts w:asciiTheme="majorBidi" w:hAnsiTheme="majorBidi" w:cstheme="majorBidi"/>
          <w:sz w:val="28"/>
          <w:szCs w:val="28"/>
        </w:rPr>
        <w:t xml:space="preserve"> </w:t>
      </w:r>
      <w:r w:rsidR="004E4357">
        <w:rPr>
          <w:rFonts w:asciiTheme="majorBidi" w:hAnsiTheme="majorBidi" w:cstheme="majorBidi"/>
          <w:sz w:val="28"/>
          <w:szCs w:val="28"/>
        </w:rPr>
        <w:t>must perform an</w:t>
      </w:r>
      <w:r w:rsidR="00445D3A" w:rsidRPr="00112E18">
        <w:rPr>
          <w:rFonts w:asciiTheme="majorBidi" w:hAnsiTheme="majorBidi" w:cstheme="majorBidi"/>
          <w:sz w:val="28"/>
          <w:szCs w:val="28"/>
        </w:rPr>
        <w:t xml:space="preserve"> internal inspection of the place of business, in any case where there is an alert from </w:t>
      </w:r>
      <w:r w:rsidR="00445D3A" w:rsidRPr="00262445">
        <w:rPr>
          <w:rFonts w:asciiTheme="majorBidi" w:hAnsiTheme="majorBidi" w:cstheme="majorBidi"/>
          <w:sz w:val="28"/>
          <w:szCs w:val="28"/>
        </w:rPr>
        <w:t xml:space="preserve">2 </w:t>
      </w:r>
      <w:r w:rsidR="00262445" w:rsidRPr="00262445">
        <w:rPr>
          <w:rFonts w:asciiTheme="majorBidi" w:hAnsiTheme="majorBidi" w:cstheme="majorBidi"/>
          <w:sz w:val="28"/>
          <w:szCs w:val="28"/>
        </w:rPr>
        <w:t>zones</w:t>
      </w:r>
      <w:r w:rsidR="004222CB">
        <w:rPr>
          <w:rFonts w:asciiTheme="majorBidi" w:hAnsiTheme="majorBidi" w:cstheme="majorBidi"/>
          <w:sz w:val="28"/>
          <w:szCs w:val="28"/>
        </w:rPr>
        <w:t>. Moreover,</w:t>
      </w:r>
      <w:r w:rsidR="00EC4B2B" w:rsidRPr="00112E18">
        <w:rPr>
          <w:rFonts w:asciiTheme="majorBidi" w:hAnsiTheme="majorBidi" w:cstheme="majorBidi"/>
          <w:sz w:val="28"/>
          <w:szCs w:val="28"/>
        </w:rPr>
        <w:t xml:space="preserve"> the manager of the insured was obliged to sign a commitment to do such search as a condi</w:t>
      </w:r>
      <w:r w:rsidR="0039277E">
        <w:rPr>
          <w:rFonts w:asciiTheme="majorBidi" w:hAnsiTheme="majorBidi" w:cstheme="majorBidi"/>
          <w:sz w:val="28"/>
          <w:szCs w:val="28"/>
        </w:rPr>
        <w:t>tion for continuation</w:t>
      </w:r>
      <w:r w:rsidR="002C04E1" w:rsidRPr="00112E18">
        <w:rPr>
          <w:rFonts w:asciiTheme="majorBidi" w:hAnsiTheme="majorBidi" w:cstheme="majorBidi"/>
          <w:sz w:val="28"/>
          <w:szCs w:val="28"/>
        </w:rPr>
        <w:t xml:space="preserve"> of coverage. </w:t>
      </w:r>
      <w:r w:rsidR="008D432F" w:rsidRPr="00112E18">
        <w:rPr>
          <w:rFonts w:asciiTheme="majorBidi" w:hAnsiTheme="majorBidi" w:cstheme="majorBidi"/>
          <w:sz w:val="28"/>
          <w:szCs w:val="28"/>
        </w:rPr>
        <w:t>On</w:t>
      </w:r>
      <w:r w:rsidR="002C04E1" w:rsidRPr="00112E18">
        <w:rPr>
          <w:rFonts w:asciiTheme="majorBidi" w:hAnsiTheme="majorBidi" w:cstheme="majorBidi"/>
          <w:sz w:val="28"/>
          <w:szCs w:val="28"/>
        </w:rPr>
        <w:t xml:space="preserve"> the night of the 18.12.2012, the business was burgled </w:t>
      </w:r>
      <w:r w:rsidR="0023503D">
        <w:rPr>
          <w:rFonts w:asciiTheme="majorBidi" w:hAnsiTheme="majorBidi" w:cstheme="majorBidi"/>
          <w:sz w:val="28"/>
          <w:szCs w:val="28"/>
        </w:rPr>
        <w:t>again</w:t>
      </w:r>
      <w:r w:rsidR="002C04E1" w:rsidRPr="00112E18">
        <w:rPr>
          <w:rFonts w:asciiTheme="majorBidi" w:hAnsiTheme="majorBidi" w:cstheme="majorBidi"/>
          <w:sz w:val="28"/>
          <w:szCs w:val="28"/>
        </w:rPr>
        <w:t xml:space="preserve">. </w:t>
      </w:r>
      <w:r w:rsidR="001C4E96">
        <w:rPr>
          <w:rFonts w:asciiTheme="majorBidi" w:hAnsiTheme="majorBidi" w:cstheme="majorBidi"/>
          <w:sz w:val="28"/>
          <w:szCs w:val="28"/>
        </w:rPr>
        <w:t>The authorized person</w:t>
      </w:r>
      <w:r w:rsidR="002C04E1" w:rsidRPr="00112E18">
        <w:rPr>
          <w:rFonts w:asciiTheme="majorBidi" w:hAnsiTheme="majorBidi" w:cstheme="majorBidi"/>
          <w:sz w:val="28"/>
          <w:szCs w:val="28"/>
        </w:rPr>
        <w:t xml:space="preserve"> arrived and patrolled the scene with a security guard (yet did not pursue an internal </w:t>
      </w:r>
      <w:r w:rsidR="008D432F">
        <w:rPr>
          <w:rFonts w:asciiTheme="majorBidi" w:hAnsiTheme="majorBidi" w:cstheme="majorBidi"/>
          <w:sz w:val="28"/>
          <w:szCs w:val="28"/>
        </w:rPr>
        <w:t>inspection</w:t>
      </w:r>
      <w:r w:rsidR="002C04E1" w:rsidRPr="00112E18">
        <w:rPr>
          <w:rFonts w:asciiTheme="majorBidi" w:hAnsiTheme="majorBidi" w:cstheme="majorBidi"/>
          <w:sz w:val="28"/>
          <w:szCs w:val="28"/>
        </w:rPr>
        <w:t xml:space="preserve">), saw nothing suspicious </w:t>
      </w:r>
      <w:r w:rsidR="00936690">
        <w:rPr>
          <w:rFonts w:asciiTheme="majorBidi" w:hAnsiTheme="majorBidi" w:cstheme="majorBidi"/>
          <w:sz w:val="28"/>
          <w:szCs w:val="28"/>
        </w:rPr>
        <w:t>and</w:t>
      </w:r>
      <w:r w:rsidR="002C04E1" w:rsidRPr="00112E18">
        <w:rPr>
          <w:rFonts w:asciiTheme="majorBidi" w:hAnsiTheme="majorBidi" w:cstheme="majorBidi"/>
          <w:sz w:val="28"/>
          <w:szCs w:val="28"/>
        </w:rPr>
        <w:t xml:space="preserve"> left the premises.</w:t>
      </w:r>
      <w:r w:rsidR="001B51B6" w:rsidRPr="00112E18">
        <w:rPr>
          <w:rFonts w:asciiTheme="majorBidi" w:hAnsiTheme="majorBidi" w:cstheme="majorBidi"/>
          <w:sz w:val="28"/>
          <w:szCs w:val="28"/>
        </w:rPr>
        <w:t xml:space="preserve"> </w:t>
      </w:r>
      <w:r w:rsidR="005547FE" w:rsidRPr="00112E18">
        <w:rPr>
          <w:rFonts w:asciiTheme="majorBidi" w:hAnsiTheme="majorBidi" w:cstheme="majorBidi"/>
          <w:sz w:val="28"/>
          <w:szCs w:val="28"/>
        </w:rPr>
        <w:t xml:space="preserve">Later on that night, the alarms went off again and 2 security guards surveyed the area, </w:t>
      </w:r>
      <w:r w:rsidR="009B4CAC">
        <w:rPr>
          <w:rFonts w:asciiTheme="majorBidi" w:hAnsiTheme="majorBidi" w:cstheme="majorBidi"/>
          <w:sz w:val="28"/>
          <w:szCs w:val="28"/>
        </w:rPr>
        <w:t>but</w:t>
      </w:r>
      <w:r w:rsidR="005547FE" w:rsidRPr="00112E18">
        <w:rPr>
          <w:rFonts w:asciiTheme="majorBidi" w:hAnsiTheme="majorBidi" w:cstheme="majorBidi"/>
          <w:sz w:val="28"/>
          <w:szCs w:val="28"/>
        </w:rPr>
        <w:t xml:space="preserve"> the insured or its </w:t>
      </w:r>
      <w:r w:rsidR="009E5F10">
        <w:rPr>
          <w:rFonts w:asciiTheme="majorBidi" w:hAnsiTheme="majorBidi" w:cstheme="majorBidi"/>
          <w:sz w:val="28"/>
          <w:szCs w:val="28"/>
        </w:rPr>
        <w:t>authorized persons</w:t>
      </w:r>
      <w:r w:rsidR="005547FE" w:rsidRPr="00112E18">
        <w:rPr>
          <w:rFonts w:asciiTheme="majorBidi" w:hAnsiTheme="majorBidi" w:cstheme="majorBidi"/>
          <w:sz w:val="28"/>
          <w:szCs w:val="28"/>
        </w:rPr>
        <w:t xml:space="preserve"> were not informed at the time.</w:t>
      </w:r>
      <w:r w:rsidR="006F3CF3" w:rsidRPr="00112E18">
        <w:rPr>
          <w:rFonts w:asciiTheme="majorBidi" w:hAnsiTheme="majorBidi" w:cstheme="majorBidi"/>
          <w:sz w:val="28"/>
          <w:szCs w:val="28"/>
        </w:rPr>
        <w:t xml:space="preserve"> </w:t>
      </w:r>
      <w:r w:rsidR="00507BC9" w:rsidRPr="00112E18">
        <w:rPr>
          <w:rFonts w:asciiTheme="majorBidi" w:hAnsiTheme="majorBidi" w:cstheme="majorBidi"/>
          <w:sz w:val="28"/>
          <w:szCs w:val="28"/>
        </w:rPr>
        <w:t>The insured learned of the burglary on the morning of 19.12.2012.</w:t>
      </w:r>
      <w:r w:rsidR="005547FE" w:rsidRPr="00112E18">
        <w:rPr>
          <w:rFonts w:asciiTheme="majorBidi" w:hAnsiTheme="majorBidi" w:cstheme="majorBidi"/>
          <w:sz w:val="28"/>
          <w:szCs w:val="28"/>
        </w:rPr>
        <w:t xml:space="preserve"> </w:t>
      </w:r>
      <w:r w:rsidR="00721EED" w:rsidRPr="00112E18">
        <w:rPr>
          <w:rFonts w:asciiTheme="majorBidi" w:hAnsiTheme="majorBidi" w:cstheme="majorBidi"/>
          <w:sz w:val="28"/>
          <w:szCs w:val="28"/>
        </w:rPr>
        <w:t xml:space="preserve"> </w:t>
      </w:r>
    </w:p>
    <w:p w:rsidR="00276293" w:rsidRPr="00112E18" w:rsidRDefault="00276293" w:rsidP="004826A2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u w:val="single"/>
        </w:rPr>
      </w:pPr>
    </w:p>
    <w:p w:rsidR="00017E6E" w:rsidRPr="00112E18" w:rsidRDefault="009C30E5" w:rsidP="00276293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12E18">
        <w:rPr>
          <w:rFonts w:asciiTheme="majorBidi" w:hAnsiTheme="majorBidi" w:cstheme="majorBidi"/>
          <w:b/>
          <w:bCs/>
          <w:sz w:val="28"/>
          <w:szCs w:val="28"/>
          <w:u w:val="single"/>
        </w:rPr>
        <w:t>The Court Ruled as Follows</w:t>
      </w:r>
      <w:r w:rsidR="00017E6E" w:rsidRPr="00112E18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:rsidR="00017E6E" w:rsidRPr="00112E18" w:rsidRDefault="00B032F4" w:rsidP="00B8485D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2E18">
        <w:rPr>
          <w:rFonts w:asciiTheme="majorBidi" w:hAnsiTheme="majorBidi" w:cstheme="majorBidi"/>
          <w:sz w:val="28"/>
          <w:szCs w:val="28"/>
        </w:rPr>
        <w:t>The Magistrate Court</w:t>
      </w:r>
      <w:r w:rsidR="00090495" w:rsidRPr="00112E18">
        <w:rPr>
          <w:rStyle w:val="a5"/>
          <w:rFonts w:asciiTheme="majorBidi" w:hAnsiTheme="majorBidi" w:cstheme="majorBidi"/>
          <w:sz w:val="28"/>
          <w:szCs w:val="28"/>
        </w:rPr>
        <w:footnoteReference w:id="3"/>
      </w:r>
      <w:r w:rsidRPr="00112E18">
        <w:rPr>
          <w:rFonts w:asciiTheme="majorBidi" w:hAnsiTheme="majorBidi" w:cstheme="majorBidi"/>
          <w:sz w:val="28"/>
          <w:szCs w:val="28"/>
        </w:rPr>
        <w:t xml:space="preserve"> </w:t>
      </w:r>
      <w:r w:rsidR="00613CB7">
        <w:rPr>
          <w:rFonts w:asciiTheme="majorBidi" w:hAnsiTheme="majorBidi" w:cstheme="majorBidi"/>
          <w:sz w:val="28"/>
          <w:szCs w:val="28"/>
        </w:rPr>
        <w:t>dismissed</w:t>
      </w:r>
      <w:r w:rsidRPr="00112E18">
        <w:rPr>
          <w:rFonts w:asciiTheme="majorBidi" w:hAnsiTheme="majorBidi" w:cstheme="majorBidi"/>
          <w:sz w:val="28"/>
          <w:szCs w:val="28"/>
        </w:rPr>
        <w:t xml:space="preserve"> the insured's claim, </w:t>
      </w:r>
      <w:r w:rsidR="007E60FA">
        <w:rPr>
          <w:rFonts w:asciiTheme="majorBidi" w:hAnsiTheme="majorBidi" w:cstheme="majorBidi"/>
          <w:sz w:val="28"/>
          <w:szCs w:val="28"/>
        </w:rPr>
        <w:t xml:space="preserve">and </w:t>
      </w:r>
      <w:r w:rsidR="008042C1">
        <w:rPr>
          <w:rFonts w:asciiTheme="majorBidi" w:hAnsiTheme="majorBidi" w:cstheme="majorBidi"/>
          <w:sz w:val="28"/>
          <w:szCs w:val="28"/>
        </w:rPr>
        <w:t>the latter's</w:t>
      </w:r>
      <w:r w:rsidR="007E60FA">
        <w:rPr>
          <w:rFonts w:asciiTheme="majorBidi" w:hAnsiTheme="majorBidi" w:cstheme="majorBidi"/>
          <w:sz w:val="28"/>
          <w:szCs w:val="28"/>
        </w:rPr>
        <w:t xml:space="preserve"> argument</w:t>
      </w:r>
      <w:r w:rsidRPr="00112E18">
        <w:rPr>
          <w:rFonts w:asciiTheme="majorBidi" w:hAnsiTheme="majorBidi" w:cstheme="majorBidi"/>
          <w:sz w:val="28"/>
          <w:szCs w:val="28"/>
        </w:rPr>
        <w:t xml:space="preserve"> that </w:t>
      </w:r>
      <w:r w:rsidR="001E2838">
        <w:rPr>
          <w:rFonts w:asciiTheme="majorBidi" w:hAnsiTheme="majorBidi" w:cstheme="majorBidi"/>
          <w:sz w:val="28"/>
          <w:szCs w:val="28"/>
        </w:rPr>
        <w:t>such</w:t>
      </w:r>
      <w:r w:rsidRPr="00112E18">
        <w:rPr>
          <w:rFonts w:asciiTheme="majorBidi" w:hAnsiTheme="majorBidi" w:cstheme="majorBidi"/>
          <w:sz w:val="28"/>
          <w:szCs w:val="28"/>
        </w:rPr>
        <w:t xml:space="preserve"> internal search of the </w:t>
      </w:r>
      <w:r w:rsidR="00066A38">
        <w:rPr>
          <w:rFonts w:asciiTheme="majorBidi" w:hAnsiTheme="majorBidi" w:cstheme="majorBidi"/>
          <w:sz w:val="28"/>
          <w:szCs w:val="28"/>
        </w:rPr>
        <w:t>premises</w:t>
      </w:r>
      <w:r w:rsidRPr="00112E18">
        <w:rPr>
          <w:rFonts w:asciiTheme="majorBidi" w:hAnsiTheme="majorBidi" w:cstheme="majorBidi"/>
          <w:sz w:val="28"/>
          <w:szCs w:val="28"/>
        </w:rPr>
        <w:t xml:space="preserve"> might put lives in danger</w:t>
      </w:r>
      <w:r w:rsidR="00AA338D">
        <w:rPr>
          <w:rFonts w:asciiTheme="majorBidi" w:hAnsiTheme="majorBidi" w:cstheme="majorBidi"/>
          <w:sz w:val="28"/>
          <w:szCs w:val="28"/>
        </w:rPr>
        <w:t xml:space="preserve"> was declined</w:t>
      </w:r>
      <w:r w:rsidRPr="00112E18">
        <w:rPr>
          <w:rFonts w:asciiTheme="majorBidi" w:hAnsiTheme="majorBidi" w:cstheme="majorBidi"/>
          <w:sz w:val="28"/>
          <w:szCs w:val="28"/>
        </w:rPr>
        <w:t xml:space="preserve">. The court </w:t>
      </w:r>
      <w:r w:rsidR="005562F3">
        <w:rPr>
          <w:rFonts w:asciiTheme="majorBidi" w:hAnsiTheme="majorBidi" w:cstheme="majorBidi"/>
          <w:sz w:val="28"/>
          <w:szCs w:val="28"/>
        </w:rPr>
        <w:t>emphasized</w:t>
      </w:r>
      <w:r w:rsidRPr="00112E18">
        <w:rPr>
          <w:rFonts w:asciiTheme="majorBidi" w:hAnsiTheme="majorBidi" w:cstheme="majorBidi"/>
          <w:sz w:val="28"/>
          <w:szCs w:val="28"/>
        </w:rPr>
        <w:t xml:space="preserve"> that the </w:t>
      </w:r>
      <w:r w:rsidR="005562F3">
        <w:rPr>
          <w:rFonts w:asciiTheme="majorBidi" w:hAnsiTheme="majorBidi" w:cstheme="majorBidi"/>
          <w:sz w:val="28"/>
          <w:szCs w:val="28"/>
        </w:rPr>
        <w:t>authorized person</w:t>
      </w:r>
      <w:r w:rsidRPr="00112E18">
        <w:rPr>
          <w:rFonts w:asciiTheme="majorBidi" w:hAnsiTheme="majorBidi" w:cstheme="majorBidi"/>
          <w:sz w:val="28"/>
          <w:szCs w:val="28"/>
        </w:rPr>
        <w:t xml:space="preserve"> did </w:t>
      </w:r>
      <w:r w:rsidR="00233618">
        <w:rPr>
          <w:rFonts w:asciiTheme="majorBidi" w:hAnsiTheme="majorBidi" w:cstheme="majorBidi"/>
          <w:sz w:val="28"/>
          <w:szCs w:val="28"/>
        </w:rPr>
        <w:t>not argue</w:t>
      </w:r>
      <w:r w:rsidRPr="00112E18">
        <w:rPr>
          <w:rFonts w:asciiTheme="majorBidi" w:hAnsiTheme="majorBidi" w:cstheme="majorBidi"/>
          <w:sz w:val="28"/>
          <w:szCs w:val="28"/>
        </w:rPr>
        <w:t xml:space="preserve"> </w:t>
      </w:r>
      <w:r w:rsidR="00404CF4">
        <w:rPr>
          <w:rFonts w:asciiTheme="majorBidi" w:hAnsiTheme="majorBidi" w:cstheme="majorBidi"/>
          <w:sz w:val="28"/>
          <w:szCs w:val="28"/>
        </w:rPr>
        <w:t>he</w:t>
      </w:r>
      <w:r w:rsidRPr="00112E18">
        <w:rPr>
          <w:rFonts w:asciiTheme="majorBidi" w:hAnsiTheme="majorBidi" w:cstheme="majorBidi"/>
          <w:sz w:val="28"/>
          <w:szCs w:val="28"/>
        </w:rPr>
        <w:t xml:space="preserve"> fear</w:t>
      </w:r>
      <w:r w:rsidR="00404CF4">
        <w:rPr>
          <w:rFonts w:asciiTheme="majorBidi" w:hAnsiTheme="majorBidi" w:cstheme="majorBidi"/>
          <w:sz w:val="28"/>
          <w:szCs w:val="28"/>
        </w:rPr>
        <w:t>ed</w:t>
      </w:r>
      <w:r w:rsidRPr="00112E18">
        <w:rPr>
          <w:rFonts w:asciiTheme="majorBidi" w:hAnsiTheme="majorBidi" w:cstheme="majorBidi"/>
          <w:sz w:val="28"/>
          <w:szCs w:val="28"/>
        </w:rPr>
        <w:t xml:space="preserve"> for his safety</w:t>
      </w:r>
      <w:r w:rsidR="00404CF4">
        <w:rPr>
          <w:rFonts w:asciiTheme="majorBidi" w:hAnsiTheme="majorBidi" w:cstheme="majorBidi"/>
          <w:sz w:val="28"/>
          <w:szCs w:val="28"/>
        </w:rPr>
        <w:t>.</w:t>
      </w:r>
      <w:r w:rsidR="00360A10">
        <w:rPr>
          <w:rFonts w:asciiTheme="majorBidi" w:hAnsiTheme="majorBidi" w:cstheme="majorBidi"/>
          <w:sz w:val="28"/>
          <w:szCs w:val="28"/>
        </w:rPr>
        <w:t xml:space="preserve"> </w:t>
      </w:r>
      <w:r w:rsidR="00B918DB" w:rsidRPr="00112E18">
        <w:rPr>
          <w:rFonts w:asciiTheme="majorBidi" w:hAnsiTheme="majorBidi" w:cstheme="majorBidi"/>
          <w:sz w:val="28"/>
          <w:szCs w:val="28"/>
        </w:rPr>
        <w:t xml:space="preserve">The court </w:t>
      </w:r>
      <w:r w:rsidR="001B73A5">
        <w:rPr>
          <w:rFonts w:asciiTheme="majorBidi" w:hAnsiTheme="majorBidi" w:cstheme="majorBidi"/>
          <w:sz w:val="28"/>
          <w:szCs w:val="28"/>
        </w:rPr>
        <w:t>stated</w:t>
      </w:r>
      <w:r w:rsidR="00B918DB" w:rsidRPr="00112E18">
        <w:rPr>
          <w:rFonts w:asciiTheme="majorBidi" w:hAnsiTheme="majorBidi" w:cstheme="majorBidi"/>
          <w:sz w:val="28"/>
          <w:szCs w:val="28"/>
        </w:rPr>
        <w:t xml:space="preserve"> that even if applying the principles of good faith and public policy, it would at best limit the </w:t>
      </w:r>
      <w:r w:rsidR="00E75C35" w:rsidRPr="00112E18">
        <w:rPr>
          <w:rFonts w:asciiTheme="majorBidi" w:hAnsiTheme="majorBidi" w:cstheme="majorBidi"/>
          <w:sz w:val="28"/>
          <w:szCs w:val="28"/>
        </w:rPr>
        <w:t xml:space="preserve">interpretative scope </w:t>
      </w:r>
      <w:r w:rsidR="001B73A5">
        <w:rPr>
          <w:rFonts w:asciiTheme="majorBidi" w:hAnsiTheme="majorBidi" w:cstheme="majorBidi"/>
          <w:sz w:val="28"/>
          <w:szCs w:val="28"/>
        </w:rPr>
        <w:t>o</w:t>
      </w:r>
      <w:r w:rsidR="00E75C35" w:rsidRPr="00112E18">
        <w:rPr>
          <w:rFonts w:asciiTheme="majorBidi" w:hAnsiTheme="majorBidi" w:cstheme="majorBidi"/>
          <w:sz w:val="28"/>
          <w:szCs w:val="28"/>
        </w:rPr>
        <w:t>f the</w:t>
      </w:r>
      <w:r w:rsidR="00B918DB" w:rsidRPr="00112E18">
        <w:rPr>
          <w:rFonts w:asciiTheme="majorBidi" w:hAnsiTheme="majorBidi" w:cstheme="majorBidi"/>
          <w:sz w:val="28"/>
          <w:szCs w:val="28"/>
        </w:rPr>
        <w:t xml:space="preserve"> condition in the policy but would not </w:t>
      </w:r>
      <w:r w:rsidR="001C2C89">
        <w:rPr>
          <w:rFonts w:asciiTheme="majorBidi" w:hAnsiTheme="majorBidi" w:cstheme="majorBidi"/>
          <w:sz w:val="28"/>
          <w:szCs w:val="28"/>
        </w:rPr>
        <w:t>cancel</w:t>
      </w:r>
      <w:r w:rsidR="00B918DB" w:rsidRPr="00112E18">
        <w:rPr>
          <w:rFonts w:asciiTheme="majorBidi" w:hAnsiTheme="majorBidi" w:cstheme="majorBidi"/>
          <w:sz w:val="28"/>
          <w:szCs w:val="28"/>
        </w:rPr>
        <w:t xml:space="preserve"> it</w:t>
      </w:r>
      <w:r w:rsidR="008E715E" w:rsidRPr="00112E18">
        <w:rPr>
          <w:rFonts w:asciiTheme="majorBidi" w:hAnsiTheme="majorBidi" w:cstheme="majorBidi"/>
          <w:sz w:val="28"/>
          <w:szCs w:val="28"/>
        </w:rPr>
        <w:t>.</w:t>
      </w:r>
      <w:r w:rsidRPr="00112E18">
        <w:rPr>
          <w:rFonts w:asciiTheme="majorBidi" w:hAnsiTheme="majorBidi" w:cstheme="majorBidi"/>
          <w:sz w:val="28"/>
          <w:szCs w:val="28"/>
        </w:rPr>
        <w:t xml:space="preserve"> </w:t>
      </w:r>
      <w:r w:rsidR="000D7897" w:rsidRPr="00112E18">
        <w:rPr>
          <w:rFonts w:asciiTheme="majorBidi" w:hAnsiTheme="majorBidi" w:cstheme="majorBidi"/>
          <w:sz w:val="28"/>
          <w:szCs w:val="28"/>
        </w:rPr>
        <w:t xml:space="preserve">The insured was found to have acted in </w:t>
      </w:r>
      <w:r w:rsidR="00A15937">
        <w:rPr>
          <w:rFonts w:asciiTheme="majorBidi" w:hAnsiTheme="majorBidi" w:cstheme="majorBidi"/>
          <w:sz w:val="28"/>
          <w:szCs w:val="28"/>
        </w:rPr>
        <w:t>bad</w:t>
      </w:r>
      <w:r w:rsidR="006C76A3">
        <w:rPr>
          <w:rFonts w:asciiTheme="majorBidi" w:hAnsiTheme="majorBidi" w:cstheme="majorBidi"/>
          <w:sz w:val="28"/>
          <w:szCs w:val="28"/>
        </w:rPr>
        <w:t xml:space="preserve"> faith,</w:t>
      </w:r>
      <w:r w:rsidR="000D7897" w:rsidRPr="00112E18">
        <w:rPr>
          <w:rFonts w:asciiTheme="majorBidi" w:hAnsiTheme="majorBidi" w:cstheme="majorBidi"/>
          <w:sz w:val="28"/>
          <w:szCs w:val="28"/>
        </w:rPr>
        <w:t xml:space="preserve"> </w:t>
      </w:r>
      <w:r w:rsidR="003E49E3" w:rsidRPr="00112E18">
        <w:rPr>
          <w:rFonts w:asciiTheme="majorBidi" w:hAnsiTheme="majorBidi" w:cstheme="majorBidi"/>
          <w:sz w:val="28"/>
          <w:szCs w:val="28"/>
        </w:rPr>
        <w:t xml:space="preserve">in light of the </w:t>
      </w:r>
      <w:r w:rsidR="001E6331">
        <w:rPr>
          <w:rFonts w:asciiTheme="majorBidi" w:hAnsiTheme="majorBidi" w:cstheme="majorBidi"/>
          <w:sz w:val="28"/>
          <w:szCs w:val="28"/>
        </w:rPr>
        <w:t>compensation received for the</w:t>
      </w:r>
      <w:r w:rsidR="003E49E3" w:rsidRPr="00112E18">
        <w:rPr>
          <w:rFonts w:asciiTheme="majorBidi" w:hAnsiTheme="majorBidi" w:cstheme="majorBidi"/>
          <w:sz w:val="28"/>
          <w:szCs w:val="28"/>
        </w:rPr>
        <w:t xml:space="preserve"> </w:t>
      </w:r>
      <w:r w:rsidR="003E49E3">
        <w:rPr>
          <w:rFonts w:asciiTheme="majorBidi" w:hAnsiTheme="majorBidi" w:cstheme="majorBidi"/>
          <w:sz w:val="28"/>
          <w:szCs w:val="28"/>
        </w:rPr>
        <w:t>first</w:t>
      </w:r>
      <w:r w:rsidR="003E49E3" w:rsidRPr="00112E18">
        <w:rPr>
          <w:rFonts w:asciiTheme="majorBidi" w:hAnsiTheme="majorBidi" w:cstheme="majorBidi"/>
          <w:sz w:val="28"/>
          <w:szCs w:val="28"/>
        </w:rPr>
        <w:t xml:space="preserve"> burglary, for consciously signing a personal and explicit commitment by a manager </w:t>
      </w:r>
      <w:r w:rsidR="003E49E3">
        <w:rPr>
          <w:rFonts w:asciiTheme="majorBidi" w:hAnsiTheme="majorBidi" w:cstheme="majorBidi"/>
          <w:sz w:val="28"/>
          <w:szCs w:val="28"/>
        </w:rPr>
        <w:t>to meet the condition, and</w:t>
      </w:r>
      <w:r w:rsidR="003E49E3" w:rsidRPr="00112E18">
        <w:rPr>
          <w:rFonts w:asciiTheme="majorBidi" w:hAnsiTheme="majorBidi" w:cstheme="majorBidi"/>
          <w:sz w:val="28"/>
          <w:szCs w:val="28"/>
        </w:rPr>
        <w:t xml:space="preserve"> </w:t>
      </w:r>
      <w:r w:rsidR="00F95D10">
        <w:rPr>
          <w:rFonts w:asciiTheme="majorBidi" w:hAnsiTheme="majorBidi" w:cstheme="majorBidi"/>
          <w:sz w:val="28"/>
          <w:szCs w:val="28"/>
        </w:rPr>
        <w:t xml:space="preserve">for </w:t>
      </w:r>
      <w:r w:rsidR="003E49E3" w:rsidRPr="00112E18">
        <w:rPr>
          <w:rFonts w:asciiTheme="majorBidi" w:hAnsiTheme="majorBidi" w:cstheme="majorBidi"/>
          <w:sz w:val="28"/>
          <w:szCs w:val="28"/>
        </w:rPr>
        <w:t xml:space="preserve">later arguing against </w:t>
      </w:r>
      <w:r w:rsidR="003E49E3">
        <w:rPr>
          <w:rFonts w:asciiTheme="majorBidi" w:hAnsiTheme="majorBidi" w:cstheme="majorBidi"/>
          <w:sz w:val="28"/>
          <w:szCs w:val="28"/>
        </w:rPr>
        <w:t>it</w:t>
      </w:r>
      <w:r w:rsidR="003E49E3" w:rsidRPr="00112E18">
        <w:rPr>
          <w:rFonts w:asciiTheme="majorBidi" w:hAnsiTheme="majorBidi" w:cstheme="majorBidi"/>
          <w:sz w:val="28"/>
          <w:szCs w:val="28"/>
        </w:rPr>
        <w:t xml:space="preserve">. </w:t>
      </w:r>
      <w:r w:rsidR="004F4711" w:rsidRPr="00112E18">
        <w:rPr>
          <w:rFonts w:asciiTheme="majorBidi" w:hAnsiTheme="majorBidi" w:cstheme="majorBidi"/>
          <w:sz w:val="28"/>
          <w:szCs w:val="28"/>
        </w:rPr>
        <w:t xml:space="preserve">Moreover, the court </w:t>
      </w:r>
      <w:r w:rsidR="009F7EDC">
        <w:rPr>
          <w:rFonts w:asciiTheme="majorBidi" w:hAnsiTheme="majorBidi" w:cstheme="majorBidi"/>
          <w:sz w:val="28"/>
          <w:szCs w:val="28"/>
        </w:rPr>
        <w:t>accepted</w:t>
      </w:r>
      <w:r w:rsidR="004F4711" w:rsidRPr="00112E18">
        <w:rPr>
          <w:rFonts w:asciiTheme="majorBidi" w:hAnsiTheme="majorBidi" w:cstheme="majorBidi"/>
          <w:sz w:val="28"/>
          <w:szCs w:val="28"/>
        </w:rPr>
        <w:t xml:space="preserve"> the testimonie</w:t>
      </w:r>
      <w:r w:rsidR="00F272BD">
        <w:rPr>
          <w:rFonts w:asciiTheme="majorBidi" w:hAnsiTheme="majorBidi" w:cstheme="majorBidi"/>
          <w:sz w:val="28"/>
          <w:szCs w:val="28"/>
        </w:rPr>
        <w:t xml:space="preserve">s of the insurer's underwriter and </w:t>
      </w:r>
      <w:r w:rsidR="004F4711" w:rsidRPr="00112E18">
        <w:rPr>
          <w:rFonts w:asciiTheme="majorBidi" w:hAnsiTheme="majorBidi" w:cstheme="majorBidi"/>
          <w:sz w:val="28"/>
          <w:szCs w:val="28"/>
        </w:rPr>
        <w:t xml:space="preserve">an expert on insurance risk and </w:t>
      </w:r>
      <w:r w:rsidR="00B8485D">
        <w:rPr>
          <w:rFonts w:asciiTheme="majorBidi" w:hAnsiTheme="majorBidi" w:cstheme="majorBidi"/>
          <w:sz w:val="28"/>
          <w:szCs w:val="28"/>
        </w:rPr>
        <w:t>security</w:t>
      </w:r>
      <w:r w:rsidR="004F4711" w:rsidRPr="00112E18">
        <w:rPr>
          <w:rFonts w:asciiTheme="majorBidi" w:hAnsiTheme="majorBidi" w:cstheme="majorBidi"/>
          <w:sz w:val="28"/>
          <w:szCs w:val="28"/>
        </w:rPr>
        <w:t xml:space="preserve"> survey</w:t>
      </w:r>
      <w:r w:rsidR="004E7184">
        <w:rPr>
          <w:rFonts w:asciiTheme="majorBidi" w:hAnsiTheme="majorBidi" w:cstheme="majorBidi"/>
          <w:sz w:val="28"/>
          <w:szCs w:val="28"/>
        </w:rPr>
        <w:t>s</w:t>
      </w:r>
      <w:r w:rsidR="004F4711" w:rsidRPr="00112E18">
        <w:rPr>
          <w:rFonts w:asciiTheme="majorBidi" w:hAnsiTheme="majorBidi" w:cstheme="majorBidi"/>
          <w:sz w:val="28"/>
          <w:szCs w:val="28"/>
        </w:rPr>
        <w:t xml:space="preserve">, which, according to </w:t>
      </w:r>
      <w:r w:rsidR="004E7184" w:rsidRPr="00112E18">
        <w:rPr>
          <w:rFonts w:asciiTheme="majorBidi" w:hAnsiTheme="majorBidi" w:cstheme="majorBidi"/>
          <w:sz w:val="28"/>
          <w:szCs w:val="28"/>
        </w:rPr>
        <w:t>both</w:t>
      </w:r>
      <w:r w:rsidR="004F4711" w:rsidRPr="00112E18">
        <w:rPr>
          <w:rFonts w:asciiTheme="majorBidi" w:hAnsiTheme="majorBidi" w:cstheme="majorBidi"/>
          <w:sz w:val="28"/>
          <w:szCs w:val="28"/>
        </w:rPr>
        <w:t>, the insurer would not have insured the business without the condition and that no other reasonable insurer would.</w:t>
      </w:r>
    </w:p>
    <w:p w:rsidR="00B918DB" w:rsidRPr="00112E18" w:rsidRDefault="00B918DB" w:rsidP="00B918DB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90495" w:rsidRPr="00112E18" w:rsidRDefault="00D306F6" w:rsidP="00E57622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2E18">
        <w:rPr>
          <w:rFonts w:asciiTheme="majorBidi" w:hAnsiTheme="majorBidi" w:cstheme="majorBidi"/>
          <w:sz w:val="28"/>
          <w:szCs w:val="28"/>
        </w:rPr>
        <w:t>The insured appealed to the District Court</w:t>
      </w:r>
      <w:r w:rsidR="00090495" w:rsidRPr="00112E18">
        <w:rPr>
          <w:rStyle w:val="a5"/>
          <w:rFonts w:asciiTheme="majorBidi" w:hAnsiTheme="majorBidi" w:cstheme="majorBidi"/>
          <w:sz w:val="28"/>
          <w:szCs w:val="28"/>
        </w:rPr>
        <w:footnoteReference w:id="4"/>
      </w:r>
      <w:r w:rsidRPr="00112E18">
        <w:rPr>
          <w:rFonts w:asciiTheme="majorBidi" w:hAnsiTheme="majorBidi" w:cstheme="majorBidi"/>
          <w:sz w:val="28"/>
          <w:szCs w:val="28"/>
        </w:rPr>
        <w:t xml:space="preserve">, on 2 grounds: 1. </w:t>
      </w:r>
      <w:proofErr w:type="gramStart"/>
      <w:r w:rsidRPr="00112E18">
        <w:rPr>
          <w:rFonts w:asciiTheme="majorBidi" w:hAnsiTheme="majorBidi" w:cstheme="majorBidi"/>
          <w:sz w:val="28"/>
          <w:szCs w:val="28"/>
        </w:rPr>
        <w:t>That</w:t>
      </w:r>
      <w:proofErr w:type="gramEnd"/>
      <w:r w:rsidRPr="00112E18">
        <w:rPr>
          <w:rFonts w:asciiTheme="majorBidi" w:hAnsiTheme="majorBidi" w:cstheme="majorBidi"/>
          <w:sz w:val="28"/>
          <w:szCs w:val="28"/>
        </w:rPr>
        <w:t xml:space="preserve"> the condition is </w:t>
      </w:r>
      <w:r w:rsidR="001C1B65">
        <w:rPr>
          <w:rFonts w:asciiTheme="majorBidi" w:hAnsiTheme="majorBidi" w:cstheme="majorBidi"/>
          <w:sz w:val="28"/>
          <w:szCs w:val="28"/>
        </w:rPr>
        <w:t>unlawful</w:t>
      </w:r>
      <w:r w:rsidR="00256BD5">
        <w:rPr>
          <w:rFonts w:asciiTheme="majorBidi" w:hAnsiTheme="majorBidi" w:cstheme="majorBidi"/>
          <w:sz w:val="28"/>
          <w:szCs w:val="28"/>
        </w:rPr>
        <w:t>, unreasonable and</w:t>
      </w:r>
      <w:r w:rsidRPr="00112E18">
        <w:rPr>
          <w:rFonts w:asciiTheme="majorBidi" w:hAnsiTheme="majorBidi" w:cstheme="majorBidi"/>
          <w:sz w:val="28"/>
          <w:szCs w:val="28"/>
        </w:rPr>
        <w:t xml:space="preserve"> </w:t>
      </w:r>
      <w:r w:rsidR="00D07C56" w:rsidRPr="00112E18">
        <w:rPr>
          <w:rFonts w:asciiTheme="majorBidi" w:hAnsiTheme="majorBidi" w:cstheme="majorBidi"/>
          <w:sz w:val="28"/>
          <w:szCs w:val="28"/>
        </w:rPr>
        <w:t xml:space="preserve">should be cancelled; 2. The insurer did not meet the burden of proof </w:t>
      </w:r>
      <w:r w:rsidR="0089255C" w:rsidRPr="00112E18">
        <w:rPr>
          <w:rFonts w:asciiTheme="majorBidi" w:hAnsiTheme="majorBidi" w:cstheme="majorBidi"/>
          <w:sz w:val="28"/>
          <w:szCs w:val="28"/>
        </w:rPr>
        <w:t xml:space="preserve">as required by the </w:t>
      </w:r>
      <w:proofErr w:type="spellStart"/>
      <w:r w:rsidR="0089255C" w:rsidRPr="00112E18">
        <w:rPr>
          <w:rFonts w:asciiTheme="majorBidi" w:hAnsiTheme="majorBidi" w:cstheme="majorBidi"/>
          <w:b/>
          <w:bCs/>
          <w:sz w:val="28"/>
          <w:szCs w:val="28"/>
        </w:rPr>
        <w:t>Slutzky</w:t>
      </w:r>
      <w:proofErr w:type="spellEnd"/>
      <w:r w:rsidR="0089255C" w:rsidRPr="00112E1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9255C" w:rsidRPr="00112E18">
        <w:rPr>
          <w:rFonts w:asciiTheme="majorBidi" w:hAnsiTheme="majorBidi" w:cstheme="majorBidi"/>
          <w:sz w:val="28"/>
          <w:szCs w:val="28"/>
        </w:rPr>
        <w:t>ruling</w:t>
      </w:r>
      <w:r w:rsidR="00C30E55">
        <w:rPr>
          <w:rFonts w:asciiTheme="majorBidi" w:hAnsiTheme="majorBidi" w:cstheme="majorBidi"/>
          <w:sz w:val="28"/>
          <w:szCs w:val="28"/>
        </w:rPr>
        <w:t>,</w:t>
      </w:r>
      <w:r w:rsidR="00D07C56" w:rsidRPr="00112E18">
        <w:rPr>
          <w:rFonts w:asciiTheme="majorBidi" w:hAnsiTheme="majorBidi" w:cstheme="majorBidi"/>
          <w:sz w:val="28"/>
          <w:szCs w:val="28"/>
        </w:rPr>
        <w:t xml:space="preserve"> </w:t>
      </w:r>
      <w:r w:rsidR="00524E0B">
        <w:rPr>
          <w:rFonts w:asciiTheme="majorBidi" w:hAnsiTheme="majorBidi" w:cstheme="majorBidi"/>
          <w:sz w:val="28"/>
          <w:szCs w:val="28"/>
        </w:rPr>
        <w:t>and that there</w:t>
      </w:r>
      <w:r w:rsidR="00D07C56" w:rsidRPr="00112E18">
        <w:rPr>
          <w:rFonts w:asciiTheme="majorBidi" w:hAnsiTheme="majorBidi" w:cstheme="majorBidi"/>
          <w:sz w:val="28"/>
          <w:szCs w:val="28"/>
        </w:rPr>
        <w:t xml:space="preserve"> is no contributory negligence.</w:t>
      </w:r>
      <w:r w:rsidR="004225F7" w:rsidRPr="00112E18">
        <w:rPr>
          <w:rFonts w:asciiTheme="majorBidi" w:hAnsiTheme="majorBidi" w:cstheme="majorBidi"/>
          <w:sz w:val="28"/>
          <w:szCs w:val="28"/>
        </w:rPr>
        <w:t xml:space="preserve"> The District Court dismissed the appeal, finding the insured's conduct to be in bad faith, and </w:t>
      </w:r>
      <w:r w:rsidR="000012E4">
        <w:rPr>
          <w:rFonts w:asciiTheme="majorBidi" w:hAnsiTheme="majorBidi" w:cstheme="majorBidi"/>
          <w:sz w:val="28"/>
          <w:szCs w:val="28"/>
        </w:rPr>
        <w:t xml:space="preserve">that he should </w:t>
      </w:r>
      <w:r w:rsidR="000012E4" w:rsidRPr="00AD08E5">
        <w:rPr>
          <w:rFonts w:asciiTheme="majorBidi" w:hAnsiTheme="majorBidi" w:cstheme="majorBidi"/>
          <w:sz w:val="28"/>
          <w:szCs w:val="28"/>
        </w:rPr>
        <w:t>be</w:t>
      </w:r>
      <w:r w:rsidR="004225F7" w:rsidRPr="00AD08E5">
        <w:rPr>
          <w:rFonts w:asciiTheme="majorBidi" w:hAnsiTheme="majorBidi" w:cstheme="majorBidi"/>
          <w:sz w:val="28"/>
          <w:szCs w:val="28"/>
        </w:rPr>
        <w:t xml:space="preserve"> estopped</w:t>
      </w:r>
      <w:r w:rsidR="007B5655" w:rsidRPr="00AD08E5">
        <w:rPr>
          <w:rFonts w:asciiTheme="majorBidi" w:hAnsiTheme="majorBidi" w:cstheme="majorBidi"/>
          <w:sz w:val="28"/>
          <w:szCs w:val="28"/>
        </w:rPr>
        <w:t xml:space="preserve"> from raising those arguments</w:t>
      </w:r>
      <w:r w:rsidR="004225F7" w:rsidRPr="00AD08E5">
        <w:rPr>
          <w:rFonts w:asciiTheme="majorBidi" w:hAnsiTheme="majorBidi" w:cstheme="majorBidi"/>
          <w:sz w:val="28"/>
          <w:szCs w:val="28"/>
        </w:rPr>
        <w:t>.</w:t>
      </w:r>
      <w:r w:rsidR="00D07C56" w:rsidRPr="00AD08E5">
        <w:rPr>
          <w:rFonts w:asciiTheme="majorBidi" w:hAnsiTheme="majorBidi" w:cstheme="majorBidi"/>
          <w:sz w:val="28"/>
          <w:szCs w:val="28"/>
        </w:rPr>
        <w:t xml:space="preserve"> </w:t>
      </w:r>
      <w:r w:rsidR="00B25AAF" w:rsidRPr="00AD08E5">
        <w:rPr>
          <w:rFonts w:asciiTheme="majorBidi" w:hAnsiTheme="majorBidi" w:cstheme="majorBidi"/>
          <w:sz w:val="28"/>
          <w:szCs w:val="28"/>
        </w:rPr>
        <w:t>Moreover, the court found that</w:t>
      </w:r>
      <w:r w:rsidR="006519D7" w:rsidRPr="00AD08E5">
        <w:rPr>
          <w:rFonts w:asciiTheme="majorBidi" w:hAnsiTheme="majorBidi" w:cstheme="majorBidi"/>
          <w:sz w:val="28"/>
          <w:szCs w:val="28"/>
        </w:rPr>
        <w:t xml:space="preserve"> the condition</w:t>
      </w:r>
      <w:r w:rsidR="006519D7" w:rsidRPr="00112E18">
        <w:rPr>
          <w:rFonts w:asciiTheme="majorBidi" w:hAnsiTheme="majorBidi" w:cstheme="majorBidi"/>
          <w:sz w:val="28"/>
          <w:szCs w:val="28"/>
        </w:rPr>
        <w:t xml:space="preserve"> is a common and well-accepted </w:t>
      </w:r>
      <w:r w:rsidR="00EA79AB">
        <w:rPr>
          <w:rFonts w:asciiTheme="majorBidi" w:hAnsiTheme="majorBidi" w:cstheme="majorBidi"/>
          <w:sz w:val="28"/>
          <w:szCs w:val="28"/>
        </w:rPr>
        <w:t>one</w:t>
      </w:r>
      <w:r w:rsidR="006519D7" w:rsidRPr="00112E18">
        <w:rPr>
          <w:rFonts w:asciiTheme="majorBidi" w:hAnsiTheme="majorBidi" w:cstheme="majorBidi"/>
          <w:sz w:val="28"/>
          <w:szCs w:val="28"/>
        </w:rPr>
        <w:t xml:space="preserve">, </w:t>
      </w:r>
      <w:r w:rsidR="00510435">
        <w:rPr>
          <w:rFonts w:asciiTheme="majorBidi" w:hAnsiTheme="majorBidi" w:cstheme="majorBidi"/>
          <w:sz w:val="28"/>
          <w:szCs w:val="28"/>
        </w:rPr>
        <w:t>that there are no circumstances which</w:t>
      </w:r>
      <w:r w:rsidR="006519D7" w:rsidRPr="00112E18">
        <w:rPr>
          <w:rFonts w:asciiTheme="majorBidi" w:hAnsiTheme="majorBidi" w:cstheme="majorBidi"/>
          <w:sz w:val="28"/>
          <w:szCs w:val="28"/>
        </w:rPr>
        <w:t xml:space="preserve"> justify cancellation </w:t>
      </w:r>
      <w:r w:rsidR="00550876">
        <w:rPr>
          <w:rFonts w:asciiTheme="majorBidi" w:hAnsiTheme="majorBidi" w:cstheme="majorBidi"/>
          <w:sz w:val="28"/>
          <w:szCs w:val="28"/>
        </w:rPr>
        <w:t xml:space="preserve">on </w:t>
      </w:r>
      <w:r w:rsidR="00550876">
        <w:rPr>
          <w:rFonts w:asciiTheme="majorBidi" w:hAnsiTheme="majorBidi" w:cstheme="majorBidi"/>
          <w:sz w:val="28"/>
          <w:szCs w:val="28"/>
        </w:rPr>
        <w:lastRenderedPageBreak/>
        <w:t xml:space="preserve">grounds of public policy and </w:t>
      </w:r>
      <w:r w:rsidR="00EE7002">
        <w:rPr>
          <w:rFonts w:asciiTheme="majorBidi" w:hAnsiTheme="majorBidi" w:cstheme="majorBidi"/>
          <w:sz w:val="28"/>
          <w:szCs w:val="28"/>
        </w:rPr>
        <w:t>that</w:t>
      </w:r>
      <w:r w:rsidR="00FB23FF" w:rsidRPr="00112E18">
        <w:rPr>
          <w:rFonts w:asciiTheme="majorBidi" w:hAnsiTheme="majorBidi" w:cstheme="majorBidi"/>
          <w:sz w:val="28"/>
          <w:szCs w:val="28"/>
        </w:rPr>
        <w:t xml:space="preserve"> the Insurer has </w:t>
      </w:r>
      <w:r w:rsidR="004F74E2" w:rsidRPr="00112E18">
        <w:rPr>
          <w:rFonts w:asciiTheme="majorBidi" w:hAnsiTheme="majorBidi" w:cstheme="majorBidi"/>
          <w:sz w:val="28"/>
          <w:szCs w:val="28"/>
        </w:rPr>
        <w:t>met the burden of proof with the testimonies submitted.</w:t>
      </w:r>
      <w:r w:rsidR="00E52470">
        <w:rPr>
          <w:rFonts w:asciiTheme="majorBidi" w:hAnsiTheme="majorBidi" w:cstheme="majorBidi"/>
          <w:sz w:val="28"/>
          <w:szCs w:val="28"/>
        </w:rPr>
        <w:t xml:space="preserve"> </w:t>
      </w:r>
    </w:p>
    <w:p w:rsidR="00090495" w:rsidRPr="00112E18" w:rsidRDefault="00090495" w:rsidP="00090495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918DB" w:rsidRDefault="00090495" w:rsidP="00E474F6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2E18">
        <w:rPr>
          <w:rFonts w:asciiTheme="majorBidi" w:hAnsiTheme="majorBidi" w:cstheme="majorBidi"/>
          <w:sz w:val="28"/>
          <w:szCs w:val="28"/>
        </w:rPr>
        <w:t xml:space="preserve">The insured </w:t>
      </w:r>
      <w:r w:rsidR="006D5FFD">
        <w:rPr>
          <w:rFonts w:asciiTheme="majorBidi" w:hAnsiTheme="majorBidi" w:cstheme="majorBidi"/>
          <w:sz w:val="28"/>
          <w:szCs w:val="28"/>
        </w:rPr>
        <w:t>requested a leave to appeal, once again,</w:t>
      </w:r>
      <w:r w:rsidRPr="00112E18">
        <w:rPr>
          <w:rFonts w:asciiTheme="majorBidi" w:hAnsiTheme="majorBidi" w:cstheme="majorBidi"/>
          <w:sz w:val="28"/>
          <w:szCs w:val="28"/>
        </w:rPr>
        <w:t xml:space="preserve"> to the Supreme Court,</w:t>
      </w:r>
      <w:r w:rsidR="005C0C36">
        <w:rPr>
          <w:rFonts w:asciiTheme="majorBidi" w:hAnsiTheme="majorBidi" w:cstheme="majorBidi"/>
          <w:sz w:val="28"/>
          <w:szCs w:val="28"/>
        </w:rPr>
        <w:t xml:space="preserve"> which dismissed the request.</w:t>
      </w:r>
      <w:r w:rsidRPr="00112E18">
        <w:rPr>
          <w:rFonts w:asciiTheme="majorBidi" w:hAnsiTheme="majorBidi" w:cstheme="majorBidi"/>
          <w:sz w:val="28"/>
          <w:szCs w:val="28"/>
        </w:rPr>
        <w:t xml:space="preserve"> </w:t>
      </w:r>
      <w:r w:rsidR="005C0C36">
        <w:rPr>
          <w:rFonts w:asciiTheme="majorBidi" w:hAnsiTheme="majorBidi" w:cstheme="majorBidi"/>
          <w:sz w:val="28"/>
          <w:szCs w:val="28"/>
        </w:rPr>
        <w:t>The court</w:t>
      </w:r>
      <w:r w:rsidR="0056217B" w:rsidRPr="00112E18">
        <w:rPr>
          <w:rFonts w:asciiTheme="majorBidi" w:hAnsiTheme="majorBidi" w:cstheme="majorBidi"/>
          <w:sz w:val="28"/>
          <w:szCs w:val="28"/>
        </w:rPr>
        <w:t xml:space="preserve"> saw no reason to interfere with the Magistrate and District Courts </w:t>
      </w:r>
      <w:r w:rsidR="00E474F6">
        <w:rPr>
          <w:rFonts w:asciiTheme="majorBidi" w:hAnsiTheme="majorBidi" w:cstheme="majorBidi"/>
          <w:sz w:val="28"/>
          <w:szCs w:val="28"/>
        </w:rPr>
        <w:t>judgements</w:t>
      </w:r>
      <w:r w:rsidR="0056217B" w:rsidRPr="00112E18">
        <w:rPr>
          <w:rFonts w:asciiTheme="majorBidi" w:hAnsiTheme="majorBidi" w:cstheme="majorBidi"/>
          <w:sz w:val="28"/>
          <w:szCs w:val="28"/>
        </w:rPr>
        <w:t>,</w:t>
      </w:r>
      <w:r w:rsidR="00A50CD9" w:rsidRPr="00112E18">
        <w:rPr>
          <w:rFonts w:asciiTheme="majorBidi" w:hAnsiTheme="majorBidi" w:cstheme="majorBidi"/>
          <w:sz w:val="28"/>
          <w:szCs w:val="28"/>
        </w:rPr>
        <w:t xml:space="preserve"> concerning both the legality of the condition and the testimonies of the insurance professionals as</w:t>
      </w:r>
      <w:r w:rsidR="00CF3EF7">
        <w:rPr>
          <w:rFonts w:asciiTheme="majorBidi" w:hAnsiTheme="majorBidi" w:cstheme="majorBidi"/>
          <w:sz w:val="28"/>
          <w:szCs w:val="28"/>
        </w:rPr>
        <w:t xml:space="preserve"> being</w:t>
      </w:r>
      <w:r w:rsidR="00A50CD9" w:rsidRPr="00112E18">
        <w:rPr>
          <w:rFonts w:asciiTheme="majorBidi" w:hAnsiTheme="majorBidi" w:cstheme="majorBidi"/>
          <w:sz w:val="28"/>
          <w:szCs w:val="28"/>
        </w:rPr>
        <w:t xml:space="preserve"> sufficient to satisfy the burden of proof</w:t>
      </w:r>
      <w:r w:rsidR="00E611FE">
        <w:rPr>
          <w:rFonts w:asciiTheme="majorBidi" w:hAnsiTheme="majorBidi" w:cstheme="majorBidi"/>
          <w:sz w:val="28"/>
          <w:szCs w:val="28"/>
        </w:rPr>
        <w:t>.</w:t>
      </w:r>
      <w:r w:rsidR="00A50CD9" w:rsidRPr="00112E18">
        <w:rPr>
          <w:rFonts w:asciiTheme="majorBidi" w:hAnsiTheme="majorBidi" w:cstheme="majorBidi"/>
          <w:sz w:val="28"/>
          <w:szCs w:val="28"/>
        </w:rPr>
        <w:t xml:space="preserve"> </w:t>
      </w:r>
      <w:r w:rsidR="00CC07AD" w:rsidRPr="00112E18">
        <w:rPr>
          <w:rFonts w:asciiTheme="majorBidi" w:hAnsiTheme="majorBidi" w:cstheme="majorBidi"/>
          <w:sz w:val="28"/>
          <w:szCs w:val="28"/>
        </w:rPr>
        <w:t xml:space="preserve">Moreover, the Supreme </w:t>
      </w:r>
      <w:r w:rsidR="002D2635" w:rsidRPr="00112E18">
        <w:rPr>
          <w:rFonts w:asciiTheme="majorBidi" w:hAnsiTheme="majorBidi" w:cstheme="majorBidi"/>
          <w:sz w:val="28"/>
          <w:szCs w:val="28"/>
        </w:rPr>
        <w:t>Court</w:t>
      </w:r>
      <w:r w:rsidR="00CC07AD" w:rsidRPr="00112E18">
        <w:rPr>
          <w:rFonts w:asciiTheme="majorBidi" w:hAnsiTheme="majorBidi" w:cstheme="majorBidi"/>
          <w:sz w:val="28"/>
          <w:szCs w:val="28"/>
        </w:rPr>
        <w:t xml:space="preserve"> concurred with the Magistrate and District courts, that</w:t>
      </w:r>
      <w:r w:rsidR="00631CBD" w:rsidRPr="00112E18">
        <w:rPr>
          <w:rFonts w:asciiTheme="majorBidi" w:hAnsiTheme="majorBidi" w:cstheme="majorBidi"/>
          <w:sz w:val="28"/>
          <w:szCs w:val="28"/>
        </w:rPr>
        <w:t xml:space="preserve"> the condition could have been met also in a scenario of fear for personal safety by calling the police to the scene, and that the insured acted in bad faith</w:t>
      </w:r>
      <w:r w:rsidR="00CF3EF7">
        <w:rPr>
          <w:rFonts w:asciiTheme="majorBidi" w:hAnsiTheme="majorBidi" w:cstheme="majorBidi"/>
          <w:sz w:val="28"/>
          <w:szCs w:val="28"/>
        </w:rPr>
        <w:t>.</w:t>
      </w:r>
      <w:r w:rsidR="00CC07AD" w:rsidRPr="00112E18">
        <w:rPr>
          <w:rFonts w:asciiTheme="majorBidi" w:hAnsiTheme="majorBidi" w:cstheme="majorBidi"/>
          <w:sz w:val="28"/>
          <w:szCs w:val="28"/>
        </w:rPr>
        <w:t xml:space="preserve"> </w:t>
      </w:r>
    </w:p>
    <w:p w:rsidR="00CC6D8C" w:rsidRDefault="00CC6D8C" w:rsidP="00CC6D8C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C6D8C" w:rsidRDefault="00CC6D8C" w:rsidP="00CC6D8C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C6D8C" w:rsidRDefault="00CC6D8C" w:rsidP="00CC6D8C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C6D8C" w:rsidRPr="00112E18" w:rsidRDefault="00CC6D8C" w:rsidP="00CC6D8C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2\120350</w:t>
      </w:r>
    </w:p>
    <w:sectPr w:rsidR="00CC6D8C" w:rsidRPr="00112E18" w:rsidSect="00017E6E">
      <w:pgSz w:w="11906" w:h="16838" w:code="9"/>
      <w:pgMar w:top="1134" w:right="1418" w:bottom="1134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E30" w:rsidRDefault="00C87E30" w:rsidP="00CA2C6C">
      <w:pPr>
        <w:spacing w:after="0" w:line="240" w:lineRule="auto"/>
      </w:pPr>
      <w:r>
        <w:separator/>
      </w:r>
    </w:p>
  </w:endnote>
  <w:endnote w:type="continuationSeparator" w:id="0">
    <w:p w:rsidR="00C87E30" w:rsidRDefault="00C87E30" w:rsidP="00CA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E30" w:rsidRDefault="00C87E30" w:rsidP="00CA2C6C">
      <w:pPr>
        <w:spacing w:after="0" w:line="240" w:lineRule="auto"/>
      </w:pPr>
      <w:r>
        <w:separator/>
      </w:r>
    </w:p>
  </w:footnote>
  <w:footnote w:type="continuationSeparator" w:id="0">
    <w:p w:rsidR="00C87E30" w:rsidRDefault="00C87E30" w:rsidP="00CA2C6C">
      <w:pPr>
        <w:spacing w:after="0" w:line="240" w:lineRule="auto"/>
      </w:pPr>
      <w:r>
        <w:continuationSeparator/>
      </w:r>
    </w:p>
  </w:footnote>
  <w:footnote w:id="1">
    <w:p w:rsidR="009E4A24" w:rsidRPr="00A00339" w:rsidRDefault="009E4A24" w:rsidP="009E4A24">
      <w:pPr>
        <w:pStyle w:val="a3"/>
        <w:bidi w:val="0"/>
        <w:jc w:val="both"/>
        <w:rPr>
          <w:rFonts w:asciiTheme="majorBidi" w:hAnsiTheme="majorBidi" w:cstheme="majorBidi"/>
        </w:rPr>
      </w:pPr>
      <w:r w:rsidRPr="00A00339">
        <w:rPr>
          <w:rStyle w:val="a5"/>
          <w:rFonts w:asciiTheme="majorBidi" w:hAnsiTheme="majorBidi" w:cstheme="majorBidi"/>
        </w:rPr>
        <w:footnoteRef/>
      </w:r>
      <w:r w:rsidRPr="00A00339">
        <w:rPr>
          <w:rFonts w:asciiTheme="majorBidi" w:hAnsiTheme="majorBidi" w:cstheme="majorBidi"/>
        </w:rPr>
        <w:t xml:space="preserve"> R.C.A 3260/10 </w:t>
      </w:r>
      <w:r w:rsidRPr="00A00339">
        <w:rPr>
          <w:rFonts w:asciiTheme="majorBidi" w:hAnsiTheme="majorBidi" w:cstheme="majorBidi"/>
          <w:rtl/>
        </w:rPr>
        <w:t xml:space="preserve"> </w:t>
      </w:r>
      <w:r w:rsidRPr="00A00339">
        <w:rPr>
          <w:rFonts w:asciiTheme="majorBidi" w:hAnsiTheme="majorBidi" w:cstheme="majorBidi"/>
          <w:b/>
          <w:bCs/>
        </w:rPr>
        <w:t xml:space="preserve">Lloyds Underwriters and others v. </w:t>
      </w:r>
      <w:proofErr w:type="spellStart"/>
      <w:r w:rsidRPr="00A00339">
        <w:rPr>
          <w:rFonts w:asciiTheme="majorBidi" w:hAnsiTheme="majorBidi" w:cstheme="majorBidi"/>
          <w:b/>
          <w:bCs/>
        </w:rPr>
        <w:t>Eliyahu</w:t>
      </w:r>
      <w:proofErr w:type="spellEnd"/>
      <w:r w:rsidRPr="00A0033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00339">
        <w:rPr>
          <w:rFonts w:asciiTheme="majorBidi" w:hAnsiTheme="majorBidi" w:cstheme="majorBidi"/>
          <w:b/>
          <w:bCs/>
        </w:rPr>
        <w:t>Slutzky</w:t>
      </w:r>
      <w:proofErr w:type="spellEnd"/>
      <w:r w:rsidRPr="00A00339">
        <w:rPr>
          <w:rFonts w:asciiTheme="majorBidi" w:hAnsiTheme="majorBidi" w:cstheme="majorBidi"/>
        </w:rPr>
        <w:t xml:space="preserve"> (2013)</w:t>
      </w:r>
    </w:p>
  </w:footnote>
  <w:footnote w:id="2">
    <w:p w:rsidR="00B03E4E" w:rsidRPr="007E12C2" w:rsidRDefault="00B03E4E" w:rsidP="007E12C2">
      <w:pPr>
        <w:bidi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7E12C2">
        <w:rPr>
          <w:rStyle w:val="a5"/>
          <w:rFonts w:asciiTheme="majorBidi" w:hAnsiTheme="majorBidi" w:cstheme="majorBidi"/>
          <w:sz w:val="20"/>
          <w:szCs w:val="20"/>
        </w:rPr>
        <w:footnoteRef/>
      </w:r>
      <w:r w:rsidRPr="007E12C2">
        <w:rPr>
          <w:rFonts w:asciiTheme="majorBidi" w:hAnsiTheme="majorBidi" w:cstheme="majorBidi"/>
          <w:sz w:val="20"/>
          <w:szCs w:val="20"/>
          <w:rtl/>
        </w:rPr>
        <w:t xml:space="preserve"> </w:t>
      </w:r>
      <w:proofErr w:type="gramStart"/>
      <w:r w:rsidRPr="007E12C2">
        <w:rPr>
          <w:rFonts w:asciiTheme="majorBidi" w:hAnsiTheme="majorBidi" w:cstheme="majorBidi"/>
          <w:sz w:val="20"/>
          <w:szCs w:val="20"/>
        </w:rPr>
        <w:t>R.C.A 2000/17</w:t>
      </w:r>
      <w:r w:rsidRPr="007E12C2">
        <w:rPr>
          <w:rFonts w:asciiTheme="majorBidi" w:hAnsiTheme="majorBidi" w:cstheme="majorBidi"/>
          <w:b/>
          <w:bCs/>
          <w:sz w:val="20"/>
          <w:szCs w:val="20"/>
        </w:rPr>
        <w:t xml:space="preserve"> Pollack Brothers Import Agencies Ltd. v.</w:t>
      </w:r>
      <w:proofErr w:type="gramEnd"/>
      <w:r w:rsidRPr="007E12C2">
        <w:rPr>
          <w:rFonts w:asciiTheme="majorBidi" w:hAnsiTheme="majorBidi" w:cstheme="majorBidi"/>
          <w:b/>
          <w:bCs/>
          <w:sz w:val="20"/>
          <w:szCs w:val="20"/>
        </w:rPr>
        <w:t xml:space="preserve"> The Phoenix Insurance Co</w:t>
      </w:r>
      <w:r w:rsidRPr="007E12C2">
        <w:rPr>
          <w:rFonts w:asciiTheme="majorBidi" w:hAnsiTheme="majorBidi" w:cstheme="majorBidi"/>
          <w:sz w:val="20"/>
          <w:szCs w:val="20"/>
        </w:rPr>
        <w:t>. (2017)</w:t>
      </w:r>
    </w:p>
  </w:footnote>
  <w:footnote w:id="3">
    <w:p w:rsidR="00090495" w:rsidRPr="008835E6" w:rsidRDefault="00090495" w:rsidP="00090495">
      <w:pPr>
        <w:pStyle w:val="a3"/>
        <w:bidi w:val="0"/>
        <w:rPr>
          <w:rFonts w:asciiTheme="majorBidi" w:hAnsiTheme="majorBidi" w:cstheme="majorBidi"/>
        </w:rPr>
      </w:pPr>
      <w:r w:rsidRPr="007E12C2">
        <w:rPr>
          <w:rStyle w:val="a5"/>
          <w:rFonts w:asciiTheme="majorBidi" w:hAnsiTheme="majorBidi" w:cstheme="majorBidi"/>
        </w:rPr>
        <w:footnoteRef/>
      </w:r>
      <w:r w:rsidRPr="007E12C2">
        <w:rPr>
          <w:rFonts w:asciiTheme="majorBidi" w:hAnsiTheme="majorBidi" w:cstheme="majorBidi"/>
          <w:rtl/>
        </w:rPr>
        <w:t xml:space="preserve"> </w:t>
      </w:r>
      <w:r w:rsidRPr="007E12C2">
        <w:rPr>
          <w:rFonts w:asciiTheme="majorBidi" w:hAnsiTheme="majorBidi" w:cstheme="majorBidi"/>
        </w:rPr>
        <w:t xml:space="preserve">C.C 36920-11-12 </w:t>
      </w:r>
      <w:r w:rsidRPr="007E12C2">
        <w:rPr>
          <w:rFonts w:asciiTheme="majorBidi" w:hAnsiTheme="majorBidi" w:cstheme="majorBidi"/>
          <w:b/>
          <w:bCs/>
        </w:rPr>
        <w:t xml:space="preserve">Pollack Brothers Import Agencies Ltd. v. The Phoenix Insurance Co. </w:t>
      </w:r>
      <w:r w:rsidRPr="008835E6">
        <w:rPr>
          <w:rFonts w:asciiTheme="majorBidi" w:hAnsiTheme="majorBidi" w:cstheme="majorBidi"/>
        </w:rPr>
        <w:t>(2015)</w:t>
      </w:r>
    </w:p>
  </w:footnote>
  <w:footnote w:id="4">
    <w:p w:rsidR="00090495" w:rsidRPr="007E12C2" w:rsidRDefault="00090495" w:rsidP="00090495">
      <w:pPr>
        <w:pStyle w:val="a3"/>
        <w:bidi w:val="0"/>
        <w:rPr>
          <w:rFonts w:asciiTheme="majorBidi" w:hAnsiTheme="majorBidi" w:cstheme="majorBidi"/>
          <w:b/>
          <w:bCs/>
        </w:rPr>
      </w:pPr>
      <w:r w:rsidRPr="007E12C2">
        <w:rPr>
          <w:rStyle w:val="a5"/>
          <w:rFonts w:asciiTheme="majorBidi" w:hAnsiTheme="majorBidi" w:cstheme="majorBidi"/>
        </w:rPr>
        <w:footnoteRef/>
      </w:r>
      <w:r w:rsidRPr="007E12C2">
        <w:rPr>
          <w:rFonts w:asciiTheme="majorBidi" w:hAnsiTheme="majorBidi" w:cstheme="majorBidi"/>
          <w:rtl/>
        </w:rPr>
        <w:t xml:space="preserve"> </w:t>
      </w:r>
      <w:r w:rsidRPr="007E12C2">
        <w:rPr>
          <w:rFonts w:asciiTheme="majorBidi" w:hAnsiTheme="majorBidi" w:cstheme="majorBidi"/>
        </w:rPr>
        <w:t xml:space="preserve"> C.A 9055-02-16 </w:t>
      </w:r>
      <w:r w:rsidRPr="007E12C2">
        <w:rPr>
          <w:rFonts w:asciiTheme="majorBidi" w:hAnsiTheme="majorBidi" w:cstheme="majorBidi"/>
          <w:b/>
          <w:bCs/>
        </w:rPr>
        <w:t xml:space="preserve">Pollack Brothers Import Agencies Ltd. v. The Phoenix Insurance Co. </w:t>
      </w:r>
      <w:r w:rsidRPr="008835E6">
        <w:rPr>
          <w:rFonts w:asciiTheme="majorBidi" w:hAnsiTheme="majorBidi" w:cstheme="majorBidi"/>
        </w:rPr>
        <w:t>(2017)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B9"/>
    <w:rsid w:val="000012E4"/>
    <w:rsid w:val="00012973"/>
    <w:rsid w:val="00012DBF"/>
    <w:rsid w:val="00017E6E"/>
    <w:rsid w:val="00020A5A"/>
    <w:rsid w:val="00022EBD"/>
    <w:rsid w:val="00033CAE"/>
    <w:rsid w:val="00033F9D"/>
    <w:rsid w:val="00066A38"/>
    <w:rsid w:val="00074A47"/>
    <w:rsid w:val="00090495"/>
    <w:rsid w:val="00091E29"/>
    <w:rsid w:val="000A06D6"/>
    <w:rsid w:val="000A2D4B"/>
    <w:rsid w:val="000B5F47"/>
    <w:rsid w:val="000C62AD"/>
    <w:rsid w:val="000C65F3"/>
    <w:rsid w:val="000D7897"/>
    <w:rsid w:val="000E4C1A"/>
    <w:rsid w:val="000F7D87"/>
    <w:rsid w:val="001100C9"/>
    <w:rsid w:val="00110214"/>
    <w:rsid w:val="00112E18"/>
    <w:rsid w:val="00112F09"/>
    <w:rsid w:val="00121B81"/>
    <w:rsid w:val="0012269B"/>
    <w:rsid w:val="0013513E"/>
    <w:rsid w:val="00140E39"/>
    <w:rsid w:val="00142237"/>
    <w:rsid w:val="00143BDD"/>
    <w:rsid w:val="0015184B"/>
    <w:rsid w:val="0016265C"/>
    <w:rsid w:val="00167CFD"/>
    <w:rsid w:val="0019461A"/>
    <w:rsid w:val="0019528B"/>
    <w:rsid w:val="001B3185"/>
    <w:rsid w:val="001B51B6"/>
    <w:rsid w:val="001B73A5"/>
    <w:rsid w:val="001C1B65"/>
    <w:rsid w:val="001C2C89"/>
    <w:rsid w:val="001C4E96"/>
    <w:rsid w:val="001C537F"/>
    <w:rsid w:val="001D5988"/>
    <w:rsid w:val="001E2838"/>
    <w:rsid w:val="001E6331"/>
    <w:rsid w:val="001E706C"/>
    <w:rsid w:val="00202EB0"/>
    <w:rsid w:val="00206027"/>
    <w:rsid w:val="00222BDB"/>
    <w:rsid w:val="00232AB0"/>
    <w:rsid w:val="00233618"/>
    <w:rsid w:val="0023503D"/>
    <w:rsid w:val="002412AD"/>
    <w:rsid w:val="00243984"/>
    <w:rsid w:val="002515DE"/>
    <w:rsid w:val="00256BD5"/>
    <w:rsid w:val="00262445"/>
    <w:rsid w:val="00272285"/>
    <w:rsid w:val="00272CDE"/>
    <w:rsid w:val="00276293"/>
    <w:rsid w:val="00286AAA"/>
    <w:rsid w:val="002A37B4"/>
    <w:rsid w:val="002B0D36"/>
    <w:rsid w:val="002C04E1"/>
    <w:rsid w:val="002C2696"/>
    <w:rsid w:val="002C6A30"/>
    <w:rsid w:val="002C7367"/>
    <w:rsid w:val="002D0EF2"/>
    <w:rsid w:val="002D2635"/>
    <w:rsid w:val="002E6E64"/>
    <w:rsid w:val="002E713F"/>
    <w:rsid w:val="002F0929"/>
    <w:rsid w:val="002F3658"/>
    <w:rsid w:val="002F477F"/>
    <w:rsid w:val="00304858"/>
    <w:rsid w:val="00312040"/>
    <w:rsid w:val="0034039C"/>
    <w:rsid w:val="0034507C"/>
    <w:rsid w:val="00345F0C"/>
    <w:rsid w:val="00351593"/>
    <w:rsid w:val="00352806"/>
    <w:rsid w:val="00360A10"/>
    <w:rsid w:val="00377E12"/>
    <w:rsid w:val="0039277E"/>
    <w:rsid w:val="003A041D"/>
    <w:rsid w:val="003B08C0"/>
    <w:rsid w:val="003B5C32"/>
    <w:rsid w:val="003C66D4"/>
    <w:rsid w:val="003D5901"/>
    <w:rsid w:val="003D6B7B"/>
    <w:rsid w:val="003E2F08"/>
    <w:rsid w:val="003E49E3"/>
    <w:rsid w:val="003F58A7"/>
    <w:rsid w:val="003F7C41"/>
    <w:rsid w:val="0040217B"/>
    <w:rsid w:val="00404CF4"/>
    <w:rsid w:val="00414D18"/>
    <w:rsid w:val="00414E41"/>
    <w:rsid w:val="004208B5"/>
    <w:rsid w:val="004222CB"/>
    <w:rsid w:val="004225F7"/>
    <w:rsid w:val="004226C1"/>
    <w:rsid w:val="00435B05"/>
    <w:rsid w:val="00437DEF"/>
    <w:rsid w:val="00445D3A"/>
    <w:rsid w:val="00445FFD"/>
    <w:rsid w:val="00453A35"/>
    <w:rsid w:val="0047565C"/>
    <w:rsid w:val="004826A2"/>
    <w:rsid w:val="0048564F"/>
    <w:rsid w:val="004B23E7"/>
    <w:rsid w:val="004C0FEA"/>
    <w:rsid w:val="004C2019"/>
    <w:rsid w:val="004D2167"/>
    <w:rsid w:val="004E4357"/>
    <w:rsid w:val="004E7184"/>
    <w:rsid w:val="004F285D"/>
    <w:rsid w:val="004F4711"/>
    <w:rsid w:val="004F74E2"/>
    <w:rsid w:val="00500701"/>
    <w:rsid w:val="005021C9"/>
    <w:rsid w:val="00507BC9"/>
    <w:rsid w:val="00510435"/>
    <w:rsid w:val="00524E0B"/>
    <w:rsid w:val="00531CDC"/>
    <w:rsid w:val="0053440D"/>
    <w:rsid w:val="005373FC"/>
    <w:rsid w:val="00550876"/>
    <w:rsid w:val="005547FE"/>
    <w:rsid w:val="005562F3"/>
    <w:rsid w:val="00557900"/>
    <w:rsid w:val="0056217B"/>
    <w:rsid w:val="0056666B"/>
    <w:rsid w:val="00580C12"/>
    <w:rsid w:val="005825A6"/>
    <w:rsid w:val="00582B9D"/>
    <w:rsid w:val="005928B3"/>
    <w:rsid w:val="005929D2"/>
    <w:rsid w:val="005A0BB8"/>
    <w:rsid w:val="005C0C36"/>
    <w:rsid w:val="005C1CA4"/>
    <w:rsid w:val="005C74BF"/>
    <w:rsid w:val="005D6E75"/>
    <w:rsid w:val="005E4B3E"/>
    <w:rsid w:val="005E6BED"/>
    <w:rsid w:val="005F2582"/>
    <w:rsid w:val="00613CB7"/>
    <w:rsid w:val="00615655"/>
    <w:rsid w:val="006309F8"/>
    <w:rsid w:val="00631CBD"/>
    <w:rsid w:val="006329CE"/>
    <w:rsid w:val="006441DD"/>
    <w:rsid w:val="006519D7"/>
    <w:rsid w:val="00656E1B"/>
    <w:rsid w:val="006852A2"/>
    <w:rsid w:val="00693D45"/>
    <w:rsid w:val="006B2571"/>
    <w:rsid w:val="006C76A3"/>
    <w:rsid w:val="006D337B"/>
    <w:rsid w:val="006D5FFD"/>
    <w:rsid w:val="006E063C"/>
    <w:rsid w:val="006E40B9"/>
    <w:rsid w:val="006F3CF3"/>
    <w:rsid w:val="00702E99"/>
    <w:rsid w:val="007121BE"/>
    <w:rsid w:val="007219CB"/>
    <w:rsid w:val="00721EED"/>
    <w:rsid w:val="00746A99"/>
    <w:rsid w:val="00751962"/>
    <w:rsid w:val="0076097C"/>
    <w:rsid w:val="007760A9"/>
    <w:rsid w:val="00780370"/>
    <w:rsid w:val="00786DBF"/>
    <w:rsid w:val="00791470"/>
    <w:rsid w:val="007B29FD"/>
    <w:rsid w:val="007B5655"/>
    <w:rsid w:val="007C31A8"/>
    <w:rsid w:val="007C4CFA"/>
    <w:rsid w:val="007C4F38"/>
    <w:rsid w:val="007D368E"/>
    <w:rsid w:val="007E12C2"/>
    <w:rsid w:val="007E1DF1"/>
    <w:rsid w:val="007E60FA"/>
    <w:rsid w:val="007E773D"/>
    <w:rsid w:val="007F5151"/>
    <w:rsid w:val="008042C1"/>
    <w:rsid w:val="00827208"/>
    <w:rsid w:val="008463C7"/>
    <w:rsid w:val="00847FF0"/>
    <w:rsid w:val="00855867"/>
    <w:rsid w:val="00856BAE"/>
    <w:rsid w:val="0085771C"/>
    <w:rsid w:val="00861918"/>
    <w:rsid w:val="00864F28"/>
    <w:rsid w:val="00867C73"/>
    <w:rsid w:val="00873734"/>
    <w:rsid w:val="008746DE"/>
    <w:rsid w:val="008823F0"/>
    <w:rsid w:val="008835E6"/>
    <w:rsid w:val="00885E09"/>
    <w:rsid w:val="00891A25"/>
    <w:rsid w:val="0089255C"/>
    <w:rsid w:val="008A0763"/>
    <w:rsid w:val="008A2C22"/>
    <w:rsid w:val="008A3D74"/>
    <w:rsid w:val="008B5BBD"/>
    <w:rsid w:val="008C14FC"/>
    <w:rsid w:val="008C2A02"/>
    <w:rsid w:val="008C4493"/>
    <w:rsid w:val="008D432F"/>
    <w:rsid w:val="008D64BD"/>
    <w:rsid w:val="008E333D"/>
    <w:rsid w:val="008E3D3E"/>
    <w:rsid w:val="008E715E"/>
    <w:rsid w:val="00900E89"/>
    <w:rsid w:val="00915BBB"/>
    <w:rsid w:val="00936690"/>
    <w:rsid w:val="009401FA"/>
    <w:rsid w:val="00946AED"/>
    <w:rsid w:val="00947C71"/>
    <w:rsid w:val="00977AD2"/>
    <w:rsid w:val="00982383"/>
    <w:rsid w:val="00982880"/>
    <w:rsid w:val="0098456B"/>
    <w:rsid w:val="00984D57"/>
    <w:rsid w:val="00994BD9"/>
    <w:rsid w:val="009A428D"/>
    <w:rsid w:val="009A6060"/>
    <w:rsid w:val="009A6990"/>
    <w:rsid w:val="009B4056"/>
    <w:rsid w:val="009B4CAC"/>
    <w:rsid w:val="009B6226"/>
    <w:rsid w:val="009C30E5"/>
    <w:rsid w:val="009E4A24"/>
    <w:rsid w:val="009E5F10"/>
    <w:rsid w:val="009E7BD2"/>
    <w:rsid w:val="009F6B0B"/>
    <w:rsid w:val="009F7EDC"/>
    <w:rsid w:val="00A00339"/>
    <w:rsid w:val="00A02339"/>
    <w:rsid w:val="00A1116D"/>
    <w:rsid w:val="00A13C6A"/>
    <w:rsid w:val="00A1559D"/>
    <w:rsid w:val="00A15937"/>
    <w:rsid w:val="00A175B1"/>
    <w:rsid w:val="00A2713F"/>
    <w:rsid w:val="00A3201E"/>
    <w:rsid w:val="00A50CD9"/>
    <w:rsid w:val="00A547B1"/>
    <w:rsid w:val="00A80997"/>
    <w:rsid w:val="00A83765"/>
    <w:rsid w:val="00A8570D"/>
    <w:rsid w:val="00A97051"/>
    <w:rsid w:val="00A972C3"/>
    <w:rsid w:val="00AA1152"/>
    <w:rsid w:val="00AA338D"/>
    <w:rsid w:val="00AB0BE8"/>
    <w:rsid w:val="00AB4E16"/>
    <w:rsid w:val="00AB55DB"/>
    <w:rsid w:val="00AB7139"/>
    <w:rsid w:val="00AB7776"/>
    <w:rsid w:val="00AC0CBF"/>
    <w:rsid w:val="00AC2D35"/>
    <w:rsid w:val="00AD08E5"/>
    <w:rsid w:val="00AD1CCD"/>
    <w:rsid w:val="00AD41D3"/>
    <w:rsid w:val="00AD4FD5"/>
    <w:rsid w:val="00AE7140"/>
    <w:rsid w:val="00AE71C6"/>
    <w:rsid w:val="00AF669A"/>
    <w:rsid w:val="00B00A9D"/>
    <w:rsid w:val="00B032F4"/>
    <w:rsid w:val="00B03AE9"/>
    <w:rsid w:val="00B03E22"/>
    <w:rsid w:val="00B03E4E"/>
    <w:rsid w:val="00B04E2F"/>
    <w:rsid w:val="00B115B8"/>
    <w:rsid w:val="00B128F9"/>
    <w:rsid w:val="00B2035E"/>
    <w:rsid w:val="00B25AAF"/>
    <w:rsid w:val="00B569CF"/>
    <w:rsid w:val="00B62822"/>
    <w:rsid w:val="00B74890"/>
    <w:rsid w:val="00B8485D"/>
    <w:rsid w:val="00B854DE"/>
    <w:rsid w:val="00B90E9B"/>
    <w:rsid w:val="00B918DB"/>
    <w:rsid w:val="00BC0332"/>
    <w:rsid w:val="00BC31FF"/>
    <w:rsid w:val="00BE0B98"/>
    <w:rsid w:val="00BE248E"/>
    <w:rsid w:val="00BE7980"/>
    <w:rsid w:val="00BF1AB5"/>
    <w:rsid w:val="00C01CB9"/>
    <w:rsid w:val="00C0210F"/>
    <w:rsid w:val="00C20B15"/>
    <w:rsid w:val="00C27876"/>
    <w:rsid w:val="00C30E55"/>
    <w:rsid w:val="00C345A3"/>
    <w:rsid w:val="00C35F87"/>
    <w:rsid w:val="00C4119D"/>
    <w:rsid w:val="00C41F20"/>
    <w:rsid w:val="00C438C2"/>
    <w:rsid w:val="00C568BC"/>
    <w:rsid w:val="00C60566"/>
    <w:rsid w:val="00C620C7"/>
    <w:rsid w:val="00C64A10"/>
    <w:rsid w:val="00C80C2C"/>
    <w:rsid w:val="00C82796"/>
    <w:rsid w:val="00C84214"/>
    <w:rsid w:val="00C87E30"/>
    <w:rsid w:val="00CA2C6C"/>
    <w:rsid w:val="00CA51DF"/>
    <w:rsid w:val="00CB2F9A"/>
    <w:rsid w:val="00CC07AD"/>
    <w:rsid w:val="00CC0F12"/>
    <w:rsid w:val="00CC6391"/>
    <w:rsid w:val="00CC67A9"/>
    <w:rsid w:val="00CC6D8C"/>
    <w:rsid w:val="00CC76EB"/>
    <w:rsid w:val="00CD09EA"/>
    <w:rsid w:val="00CE533B"/>
    <w:rsid w:val="00CE7331"/>
    <w:rsid w:val="00CF2706"/>
    <w:rsid w:val="00CF3EF7"/>
    <w:rsid w:val="00CF493A"/>
    <w:rsid w:val="00D07C56"/>
    <w:rsid w:val="00D10003"/>
    <w:rsid w:val="00D1038B"/>
    <w:rsid w:val="00D26C8C"/>
    <w:rsid w:val="00D306F6"/>
    <w:rsid w:val="00D311D0"/>
    <w:rsid w:val="00D32804"/>
    <w:rsid w:val="00D34794"/>
    <w:rsid w:val="00D36394"/>
    <w:rsid w:val="00D54035"/>
    <w:rsid w:val="00D56BC3"/>
    <w:rsid w:val="00D6513E"/>
    <w:rsid w:val="00D8148E"/>
    <w:rsid w:val="00D82654"/>
    <w:rsid w:val="00D83746"/>
    <w:rsid w:val="00D85BA4"/>
    <w:rsid w:val="00D912BF"/>
    <w:rsid w:val="00D96D47"/>
    <w:rsid w:val="00DA22DE"/>
    <w:rsid w:val="00DA563D"/>
    <w:rsid w:val="00DB65B2"/>
    <w:rsid w:val="00DB7F75"/>
    <w:rsid w:val="00DC2929"/>
    <w:rsid w:val="00DD60DB"/>
    <w:rsid w:val="00DE2920"/>
    <w:rsid w:val="00DE3A9B"/>
    <w:rsid w:val="00DE697B"/>
    <w:rsid w:val="00DF3121"/>
    <w:rsid w:val="00DF4456"/>
    <w:rsid w:val="00E01E76"/>
    <w:rsid w:val="00E03E62"/>
    <w:rsid w:val="00E06937"/>
    <w:rsid w:val="00E10308"/>
    <w:rsid w:val="00E21266"/>
    <w:rsid w:val="00E254AC"/>
    <w:rsid w:val="00E26664"/>
    <w:rsid w:val="00E4110E"/>
    <w:rsid w:val="00E474F6"/>
    <w:rsid w:val="00E5103D"/>
    <w:rsid w:val="00E52470"/>
    <w:rsid w:val="00E57622"/>
    <w:rsid w:val="00E611FE"/>
    <w:rsid w:val="00E75C35"/>
    <w:rsid w:val="00E81194"/>
    <w:rsid w:val="00E85B77"/>
    <w:rsid w:val="00EA2AA5"/>
    <w:rsid w:val="00EA79AB"/>
    <w:rsid w:val="00EC4B2B"/>
    <w:rsid w:val="00EC7B85"/>
    <w:rsid w:val="00ED19DE"/>
    <w:rsid w:val="00ED256F"/>
    <w:rsid w:val="00EE09A7"/>
    <w:rsid w:val="00EE7002"/>
    <w:rsid w:val="00EF21D2"/>
    <w:rsid w:val="00F009DC"/>
    <w:rsid w:val="00F272BD"/>
    <w:rsid w:val="00F342A6"/>
    <w:rsid w:val="00F34856"/>
    <w:rsid w:val="00F37C11"/>
    <w:rsid w:val="00F53444"/>
    <w:rsid w:val="00F95D10"/>
    <w:rsid w:val="00FA4C48"/>
    <w:rsid w:val="00FB23FF"/>
    <w:rsid w:val="00FC0E01"/>
    <w:rsid w:val="00FD06B2"/>
    <w:rsid w:val="00FD7CAB"/>
    <w:rsid w:val="00FE212C"/>
    <w:rsid w:val="00FE6722"/>
    <w:rsid w:val="00FE6F50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A2C6C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CA2C6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A2C6C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4226C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226C1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4226C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226C1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4226C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2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uiPriority w:val="99"/>
    <w:semiHidden/>
    <w:rsid w:val="00422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A2C6C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CA2C6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A2C6C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4226C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226C1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4226C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226C1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4226C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2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uiPriority w:val="99"/>
    <w:semiHidden/>
    <w:rsid w:val="00422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630F3-23BC-45F4-B510-8B907D02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מאמר תנאי מיגון</vt:lpstr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מאמר תנאי מיגון</dc:title>
  <dc:subject>אלון כץ</dc:subject>
  <dc:creator>Alon Katz</dc:creator>
  <cp:keywords>2\120350</cp:keywords>
  <dc:description>2\120350</dc:description>
  <cp:lastModifiedBy>Alon Katz</cp:lastModifiedBy>
  <cp:revision>2</cp:revision>
  <cp:lastPrinted>2017-05-09T06:54:00Z</cp:lastPrinted>
  <dcterms:created xsi:type="dcterms:W3CDTF">2017-06-01T07:36:00Z</dcterms:created>
  <dcterms:modified xsi:type="dcterms:W3CDTF">2017-06-01T07:36:00Z</dcterms:modified>
</cp:coreProperties>
</file>